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A932" w14:textId="161304B2" w:rsidR="00DE49CF" w:rsidRDefault="00DE49CF" w:rsidP="00DE49CF">
      <w:pPr>
        <w:spacing w:after="0" w:line="240" w:lineRule="auto"/>
        <w:ind w:left="-720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UC TCA Review -2024-2025  </w:t>
      </w:r>
    </w:p>
    <w:p w14:paraId="28BAA4A3" w14:textId="7EA5C974" w:rsidR="00DE49CF" w:rsidRDefault="00DE49CF" w:rsidP="00DE49CF">
      <w:pPr>
        <w:spacing w:after="0" w:line="240" w:lineRule="auto"/>
        <w:ind w:left="-720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Berkeley City College</w:t>
      </w:r>
    </w:p>
    <w:p w14:paraId="423A03FF" w14:textId="77777777" w:rsidR="00DE49CF" w:rsidRDefault="00DE49CF" w:rsidP="00DE49CF">
      <w:pPr>
        <w:spacing w:after="0" w:line="240" w:lineRule="auto"/>
        <w:ind w:left="-720"/>
        <w:rPr>
          <w:rFonts w:ascii="Arial Black" w:hAnsi="Arial Black"/>
          <w:b/>
          <w:bCs/>
          <w:sz w:val="28"/>
          <w:szCs w:val="28"/>
        </w:rPr>
      </w:pPr>
    </w:p>
    <w:p w14:paraId="1EF805B7" w14:textId="1C186A78" w:rsidR="00DE49CF" w:rsidRDefault="00DE49CF" w:rsidP="00DE49CF">
      <w:pPr>
        <w:spacing w:after="0" w:line="240" w:lineRule="auto"/>
        <w:ind w:left="-720"/>
        <w:rPr>
          <w:rFonts w:ascii="Arial Black" w:hAnsi="Arial Black"/>
          <w:b/>
          <w:bCs/>
          <w:sz w:val="28"/>
          <w:szCs w:val="28"/>
          <w:u w:val="single"/>
        </w:rPr>
      </w:pPr>
      <w:r w:rsidRPr="00DE49CF">
        <w:rPr>
          <w:rFonts w:ascii="Arial Black" w:hAnsi="Arial Black"/>
          <w:b/>
          <w:bCs/>
          <w:sz w:val="28"/>
          <w:szCs w:val="28"/>
          <w:u w:val="single"/>
        </w:rPr>
        <w:t>APPROVALS</w:t>
      </w:r>
    </w:p>
    <w:p w14:paraId="40377D13" w14:textId="77777777" w:rsidR="00DE49CF" w:rsidRDefault="00DE49CF" w:rsidP="00DE49CF">
      <w:pPr>
        <w:spacing w:after="0" w:line="240" w:lineRule="auto"/>
        <w:ind w:left="-720"/>
        <w:rPr>
          <w:rFonts w:ascii="Arial Black" w:hAnsi="Arial Black"/>
          <w:b/>
          <w:bCs/>
          <w:sz w:val="28"/>
          <w:szCs w:val="28"/>
          <w:u w:val="single"/>
        </w:rPr>
      </w:pPr>
    </w:p>
    <w:p w14:paraId="693D240A" w14:textId="00B622EE" w:rsidR="00DE49CF" w:rsidRDefault="00DE49CF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 ART 52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Intermediate Painting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 </w:t>
      </w:r>
    </w:p>
    <w:p w14:paraId="3E708CD4" w14:textId="29DD7E5E" w:rsidR="00DE49CF" w:rsidRDefault="00DE49CF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ART 119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Figure Painting in Context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57FC5842" w14:textId="77777777" w:rsidR="00DE49CF" w:rsidRDefault="00DE49CF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5C736626" w14:textId="6245AF4A" w:rsidR="00DE49CF" w:rsidRDefault="00DE49CF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BIOL 25A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Human Biology with Laboratory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</w:t>
      </w:r>
    </w:p>
    <w:p w14:paraId="3055147D" w14:textId="77777777" w:rsidR="00DE49CF" w:rsidRDefault="00DE49CF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501F4D62" w14:textId="5252F5DF" w:rsidR="00DE49CF" w:rsidRDefault="00DE49CF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ENGL 23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Contemporary Queer Literature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062E8CD6" w14:textId="4EADC47F" w:rsidR="00DE49CF" w:rsidRDefault="00DE49CF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ENGL 70A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Transforming Autobiography Into Creative Writing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7BA67CA1" w14:textId="5A9F7A15" w:rsidR="00DE49CF" w:rsidRDefault="00DE49CF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ENGL 70B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Transforming Autobiography Into Creative Writing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3C97FD2B" w14:textId="0B6F6F17" w:rsidR="00DE49CF" w:rsidRDefault="00DE49CF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ENGL 89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Playwriting and Screenwriting: Special Projects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37C7E09D" w14:textId="77777777" w:rsidR="001A04BB" w:rsidRDefault="001A04BB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586774E5" w14:textId="670D3132" w:rsidR="001A04BB" w:rsidRDefault="001A04BB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MATH 118 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- Foundations in Data Science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(4.00)</w:t>
      </w:r>
    </w:p>
    <w:p w14:paraId="495D543A" w14:textId="77777777" w:rsidR="00310C5D" w:rsidRDefault="00310C5D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53568078" w14:textId="03E0ACE2" w:rsidR="00310C5D" w:rsidRDefault="00310C5D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MM/AN 19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Character Design and Model Construction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 </w:t>
      </w:r>
    </w:p>
    <w:p w14:paraId="22C2FAC4" w14:textId="5DCC1E80" w:rsidR="00310C5D" w:rsidRDefault="00310C5D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MM/AN 30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Textures for 3D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 xml:space="preserve">(3.00) </w:t>
      </w:r>
    </w:p>
    <w:p w14:paraId="716764FD" w14:textId="77777777" w:rsidR="00310C5D" w:rsidRDefault="00310C5D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05117E83" w14:textId="024DA19B" w:rsidR="00310C5D" w:rsidRDefault="00310C5D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MM/DI 4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Introduction to Photoshop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(2.00)</w:t>
      </w:r>
    </w:p>
    <w:p w14:paraId="0BFF7E22" w14:textId="77777777" w:rsidR="00310C5D" w:rsidRDefault="00310C5D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2550A211" w14:textId="6FD8FE58" w:rsidR="00310C5D" w:rsidRDefault="00CC7039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MM/VI 20LD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Editing IV: Editing for Distribution Lab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(1.00) </w:t>
      </w:r>
    </w:p>
    <w:p w14:paraId="5CFB4EF9" w14:textId="77777777" w:rsidR="00CC7039" w:rsidRDefault="00CC7039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2B87A8DE" w14:textId="181E6A27" w:rsidR="00CC7039" w:rsidRDefault="00CC7039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u w:val="single"/>
          <w:shd w:val="clear" w:color="auto" w:fill="F1F5FB"/>
        </w:rPr>
      </w:pPr>
      <w:r w:rsidRPr="00CC7039"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u w:val="single"/>
          <w:shd w:val="clear" w:color="auto" w:fill="F1F5FB"/>
        </w:rPr>
        <w:t>DENIED</w:t>
      </w:r>
    </w:p>
    <w:p w14:paraId="6CADA7E3" w14:textId="77777777" w:rsidR="00136FFD" w:rsidRDefault="00136FFD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u w:val="single"/>
          <w:shd w:val="clear" w:color="auto" w:fill="F1F5FB"/>
        </w:rPr>
      </w:pPr>
    </w:p>
    <w:p w14:paraId="1300D84A" w14:textId="213E6871" w:rsidR="00136FFD" w:rsidRDefault="00136FFD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ART 181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Artist as Citizen: Community-Based Art Practices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7DB4B539" w14:textId="77777777" w:rsidR="002B46A2" w:rsidRPr="002B46A2" w:rsidRDefault="002B46A2" w:rsidP="002B46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46A2">
        <w:rPr>
          <w:rFonts w:ascii="Lato" w:eastAsia="Times New Roman" w:hAnsi="Lato" w:cs="Times New Roman"/>
          <w:color w:val="000000"/>
          <w:spacing w:val="3"/>
          <w:kern w:val="0"/>
          <w:sz w:val="20"/>
          <w:szCs w:val="20"/>
          <w:shd w:val="clear" w:color="auto" w:fill="F1F5FA"/>
          <w14:ligatures w14:val="none"/>
        </w:rPr>
        <w:t>DENY:</w:t>
      </w:r>
    </w:p>
    <w:tbl>
      <w:tblPr>
        <w:tblW w:w="6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0"/>
      </w:tblGrid>
      <w:tr w:rsidR="002B46A2" w:rsidRPr="002B46A2" w14:paraId="48C060E5" w14:textId="77777777" w:rsidTr="002B46A2">
        <w:trPr>
          <w:trHeight w:val="171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9362F" w14:textId="77777777" w:rsidR="002B46A2" w:rsidRPr="002B46A2" w:rsidRDefault="002B46A2" w:rsidP="002B46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B46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 the TCA guidelines (https://www.ucop.edu/transfer-articulation/transferable-course-agreements/tca-policy/regulations-by-subject-area.html) commercial or professional art courses (e.g., advertising; commercial photography; interior design, etc.); craft courses (e.g., calligraphy; jewelry making; weaving, etc.) are not transferable.</w:t>
            </w:r>
          </w:p>
        </w:tc>
      </w:tr>
    </w:tbl>
    <w:p w14:paraId="11919FD3" w14:textId="77777777" w:rsidR="002B46A2" w:rsidRDefault="002B46A2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447A33C3" w14:textId="77777777" w:rsidR="00136FFD" w:rsidRPr="00CC7039" w:rsidRDefault="00136FFD" w:rsidP="002B46A2">
      <w:pPr>
        <w:spacing w:after="0" w:line="240" w:lineRule="auto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u w:val="single"/>
          <w:shd w:val="clear" w:color="auto" w:fill="F1F5FB"/>
        </w:rPr>
      </w:pPr>
    </w:p>
    <w:p w14:paraId="0BBFB9FB" w14:textId="6C34E650" w:rsidR="00DE49CF" w:rsidRDefault="00136FFD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BUS 5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Human Relations in Business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</w:t>
      </w:r>
    </w:p>
    <w:p w14:paraId="45372BBC" w14:textId="362EEC84" w:rsidR="002B46A2" w:rsidRPr="002B46A2" w:rsidRDefault="002B46A2" w:rsidP="002B46A2">
      <w:pPr>
        <w:numPr>
          <w:ilvl w:val="0"/>
          <w:numId w:val="1"/>
        </w:numPr>
        <w:pBdr>
          <w:top w:val="single" w:sz="6" w:space="2" w:color="A1B3C5"/>
          <w:left w:val="single" w:sz="6" w:space="2" w:color="A1B3C5"/>
          <w:bottom w:val="single" w:sz="6" w:space="2" w:color="A1B3C5"/>
          <w:right w:val="single" w:sz="6" w:space="2" w:color="A1B3C5"/>
        </w:pBdr>
        <w:shd w:val="clear" w:color="auto" w:fill="F1F5FA"/>
        <w:spacing w:before="100" w:beforeAutospacing="1" w:after="100" w:afterAutospacing="1" w:line="240" w:lineRule="auto"/>
        <w:rPr>
          <w:rStyle w:val="Emphasis"/>
          <w:rFonts w:ascii="Lato" w:eastAsia="Times New Roman" w:hAnsi="Lato" w:cs="Times New Roman"/>
          <w:i w:val="0"/>
          <w:iCs w:val="0"/>
          <w:color w:val="000000"/>
          <w:spacing w:val="3"/>
          <w:kern w:val="0"/>
          <w:sz w:val="20"/>
          <w:szCs w:val="20"/>
          <w14:ligatures w14:val="none"/>
        </w:rPr>
      </w:pPr>
      <w:r w:rsidRPr="002B46A2">
        <w:rPr>
          <w:rFonts w:ascii="Lato" w:eastAsia="Times New Roman" w:hAnsi="Lato" w:cs="Times New Roman"/>
          <w:color w:val="000000"/>
          <w:spacing w:val="3"/>
          <w:kern w:val="0"/>
          <w:sz w:val="20"/>
          <w:szCs w:val="20"/>
          <w14:ligatures w14:val="none"/>
        </w:rPr>
        <w:t>Comment: ﻿</w:t>
      </w:r>
      <w:r w:rsidRPr="002B46A2">
        <w:rPr>
          <w:rFonts w:ascii="Calibri" w:eastAsia="Times New Roman" w:hAnsi="Calibri" w:cs="Calibri"/>
          <w:color w:val="444444"/>
          <w:kern w:val="0"/>
          <w:sz w:val="22"/>
          <w:szCs w:val="22"/>
          <w:shd w:val="clear" w:color="auto" w:fill="FFFFFF"/>
          <w14:ligatures w14:val="none"/>
        </w:rPr>
        <w:t>DENY: Per the TCA guidelines (https://www.ucop.edu/transfer-articulation/transferable-course-agreements/tca-policy/regulations-by-subject-area.html) courses that focus primarily on the applied, functional and/or practical aspects of business are not transferable.</w:t>
      </w:r>
    </w:p>
    <w:p w14:paraId="216A9B30" w14:textId="77777777" w:rsidR="00136FFD" w:rsidRDefault="00136FFD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7FD0F6B9" w14:textId="7782C9E9" w:rsidR="00136FFD" w:rsidRDefault="00136FFD" w:rsidP="00DE49CF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BUS 20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General Accounting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1D1B8F57" w14:textId="77777777" w:rsidR="000468BA" w:rsidRPr="000468BA" w:rsidRDefault="000468BA" w:rsidP="000468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68BA">
        <w:rPr>
          <w:rFonts w:ascii="Lato" w:eastAsia="Times New Roman" w:hAnsi="Lato" w:cs="Times New Roman"/>
          <w:color w:val="000000"/>
          <w:spacing w:val="3"/>
          <w:kern w:val="0"/>
          <w:sz w:val="20"/>
          <w:szCs w:val="20"/>
          <w:shd w:val="clear" w:color="auto" w:fill="F1F5FA"/>
          <w14:ligatures w14:val="none"/>
        </w:rPr>
        <w:t>DENY:</w:t>
      </w:r>
    </w:p>
    <w:tbl>
      <w:tblPr>
        <w:tblW w:w="15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0"/>
      </w:tblGrid>
      <w:tr w:rsidR="000468BA" w:rsidRPr="000468BA" w14:paraId="2D73BBD9" w14:textId="77777777" w:rsidTr="000468BA">
        <w:trPr>
          <w:trHeight w:val="615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B3FFD" w14:textId="34933087" w:rsidR="000468BA" w:rsidRDefault="000468BA" w:rsidP="0004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68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 the TCA guidelines (</w:t>
            </w:r>
            <w:hyperlink r:id="rId5" w:history="1">
              <w:r w:rsidRPr="000468BA">
                <w:rPr>
                  <w:rStyle w:val="Hyperlink"/>
                  <w:rFonts w:ascii="Calibri" w:eastAsia="Times New Roman" w:hAnsi="Calibri" w:cs="Calibri"/>
                  <w:kern w:val="0"/>
                  <w:sz w:val="22"/>
                  <w:szCs w:val="22"/>
                  <w14:ligatures w14:val="none"/>
                </w:rPr>
                <w:t>https://www.ucop.edu/transfer-articulation/transferable-course-agreements/tca-policy/</w:t>
              </w:r>
            </w:hyperlink>
          </w:p>
          <w:p w14:paraId="488CF27C" w14:textId="77777777" w:rsidR="000468BA" w:rsidRDefault="000468BA" w:rsidP="000468BA">
            <w:pPr>
              <w:spacing w:after="0" w:line="240" w:lineRule="auto"/>
              <w:rPr>
                <w:rFonts w:ascii="Calibri" w:hAnsi="Calibri" w:cs="Calibri"/>
                <w:color w:val="000000"/>
                <w:spacing w:val="3"/>
                <w:sz w:val="22"/>
                <w:szCs w:val="22"/>
                <w:shd w:val="clear" w:color="auto" w:fill="F1F5FA"/>
              </w:rPr>
            </w:pPr>
            <w:r w:rsidRPr="000468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regulations-by-subject-area.html) courses that focus</w:t>
            </w:r>
            <w:r>
              <w:rPr>
                <w:rFonts w:ascii="Calibri" w:hAnsi="Calibri" w:cs="Calibri"/>
                <w:color w:val="000000"/>
                <w:spacing w:val="3"/>
                <w:sz w:val="22"/>
                <w:szCs w:val="22"/>
                <w:shd w:val="clear" w:color="auto" w:fill="F1F5FA"/>
              </w:rPr>
              <w:t xml:space="preserve"> primarily on the applied, functional and/or practical </w:t>
            </w:r>
          </w:p>
          <w:p w14:paraId="4556C942" w14:textId="6672434E" w:rsidR="000468BA" w:rsidRPr="000468BA" w:rsidRDefault="000468BA" w:rsidP="0004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pacing w:val="3"/>
                <w:sz w:val="22"/>
                <w:szCs w:val="22"/>
                <w:shd w:val="clear" w:color="auto" w:fill="F1F5FA"/>
              </w:rPr>
              <w:t>aspects of business are not transferable.</w:t>
            </w:r>
          </w:p>
        </w:tc>
      </w:tr>
    </w:tbl>
    <w:p w14:paraId="3DD1BB1F" w14:textId="77777777" w:rsidR="00136FFD" w:rsidRDefault="00136FFD" w:rsidP="00DE49CF">
      <w:pPr>
        <w:spacing w:after="0" w:line="240" w:lineRule="auto"/>
        <w:ind w:left="-720"/>
        <w:rPr>
          <w:rFonts w:ascii="Arial Black" w:hAnsi="Arial Black"/>
          <w:b/>
          <w:bCs/>
          <w:sz w:val="28"/>
          <w:szCs w:val="28"/>
          <w:u w:val="single"/>
        </w:rPr>
      </w:pPr>
    </w:p>
    <w:p w14:paraId="0369A14A" w14:textId="7DC4ECEF" w:rsidR="00136FFD" w:rsidRDefault="00CC7039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BUS 54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Small Business Management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1BD021F5" w14:textId="2D247B2A" w:rsidR="002B46A2" w:rsidRDefault="002B46A2" w:rsidP="002B46A2">
      <w:pPr>
        <w:spacing w:after="0" w:line="240" w:lineRule="auto"/>
        <w:rPr>
          <w:rFonts w:ascii="Lato" w:eastAsia="Times New Roman" w:hAnsi="Lato" w:cs="Times New Roman"/>
          <w:color w:val="000000"/>
          <w:spacing w:val="3"/>
          <w:kern w:val="0"/>
          <w:sz w:val="20"/>
          <w:szCs w:val="20"/>
          <w:shd w:val="clear" w:color="auto" w:fill="F1F5FA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</w:t>
      </w:r>
      <w:r w:rsidRPr="002B46A2">
        <w:rPr>
          <w:rFonts w:ascii="Times New Roman" w:eastAsia="Times New Roman" w:hAnsi="Times New Roman" w:cs="Times New Roman"/>
          <w:kern w:val="0"/>
          <w14:ligatures w14:val="none"/>
        </w:rPr>
        <w:t>om</w:t>
      </w:r>
      <w:r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Pr="002B46A2">
        <w:rPr>
          <w:rFonts w:ascii="Times New Roman" w:eastAsia="Times New Roman" w:hAnsi="Times New Roman" w:cs="Times New Roman"/>
          <w:kern w:val="0"/>
          <w14:ligatures w14:val="none"/>
        </w:rPr>
        <w:t>ent:</w:t>
      </w:r>
      <w:r w:rsidRPr="002B46A2">
        <w:rPr>
          <w:rFonts w:ascii="Lato" w:eastAsia="Times New Roman" w:hAnsi="Lato" w:cs="Times New Roman"/>
          <w:color w:val="000000"/>
          <w:spacing w:val="3"/>
          <w:kern w:val="0"/>
          <w:sz w:val="20"/>
          <w:szCs w:val="20"/>
          <w:shd w:val="clear" w:color="auto" w:fill="F1F5FA"/>
          <w14:ligatures w14:val="none"/>
        </w:rPr>
        <w:t> DENY:</w:t>
      </w:r>
    </w:p>
    <w:p w14:paraId="1EEFA841" w14:textId="790B1BDB" w:rsidR="002B46A2" w:rsidRPr="002B46A2" w:rsidRDefault="002B46A2" w:rsidP="002B46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hAnsi="Calibri" w:cs="Calibri"/>
          <w:color w:val="000000"/>
          <w:spacing w:val="3"/>
          <w:sz w:val="22"/>
          <w:szCs w:val="22"/>
          <w:shd w:val="clear" w:color="auto" w:fill="F1F5FA"/>
        </w:rPr>
        <w:t>Per the TCA guidelines (https://www.ucop.edu/transfer-articulation/transferable-course-agreements/tca-policy/regulations-by-subject-area.html) courses that focus primarily on the applied, functional and/or practical aspects of business are not transferable.</w:t>
      </w:r>
    </w:p>
    <w:p w14:paraId="3D0D10CE" w14:textId="77777777" w:rsidR="002B46A2" w:rsidRDefault="002B46A2" w:rsidP="000468BA">
      <w:pPr>
        <w:spacing w:after="0" w:line="240" w:lineRule="auto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6DFCF611" w14:textId="77777777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64404E5E" w14:textId="4F482AE3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BUS 56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Human Resources Management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4CB86C72" w14:textId="77777777" w:rsidR="002B46A2" w:rsidRPr="002B46A2" w:rsidRDefault="002B46A2" w:rsidP="002B46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46A2">
        <w:rPr>
          <w:rFonts w:ascii="Times New Roman" w:eastAsia="Times New Roman" w:hAnsi="Times New Roman" w:cs="Times New Roman"/>
          <w:kern w:val="0"/>
          <w14:ligatures w14:val="none"/>
        </w:rPr>
        <w:t>Comment:</w:t>
      </w:r>
      <w:r w:rsidRPr="002B46A2">
        <w:rPr>
          <w:rFonts w:ascii="Lato" w:eastAsia="Times New Roman" w:hAnsi="Lato" w:cs="Times New Roman"/>
          <w:color w:val="000000"/>
          <w:spacing w:val="3"/>
          <w:kern w:val="0"/>
          <w:sz w:val="20"/>
          <w:szCs w:val="20"/>
          <w:shd w:val="clear" w:color="auto" w:fill="F1F5FA"/>
          <w14:ligatures w14:val="none"/>
        </w:rPr>
        <w:t> DENY:</w:t>
      </w:r>
    </w:p>
    <w:tbl>
      <w:tblPr>
        <w:tblW w:w="15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0"/>
      </w:tblGrid>
      <w:tr w:rsidR="002B46A2" w:rsidRPr="002B46A2" w14:paraId="60D09913" w14:textId="77777777" w:rsidTr="002B46A2">
        <w:trPr>
          <w:trHeight w:val="615"/>
        </w:trPr>
        <w:tc>
          <w:tcPr>
            <w:tcW w:w="15580" w:type="dxa"/>
            <w:vAlign w:val="center"/>
            <w:hideMark/>
          </w:tcPr>
          <w:p w14:paraId="72283D1F" w14:textId="5850B708" w:rsidR="002B46A2" w:rsidRDefault="002B46A2" w:rsidP="002B4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46A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 the TCA guidelines (</w:t>
            </w:r>
            <w:hyperlink r:id="rId6" w:history="1">
              <w:r w:rsidRPr="002B46A2">
                <w:rPr>
                  <w:rStyle w:val="Hyperlink"/>
                  <w:rFonts w:ascii="Times New Roman" w:eastAsia="Times New Roman" w:hAnsi="Times New Roman" w:cs="Times New Roman"/>
                  <w:kern w:val="0"/>
                  <w14:ligatures w14:val="none"/>
                </w:rPr>
                <w:t>https://www.ucop.edu/transfer-articulation/transferable-course-agreements/tca-</w:t>
              </w:r>
            </w:hyperlink>
          </w:p>
          <w:p w14:paraId="00A84C79" w14:textId="77777777" w:rsidR="002B46A2" w:rsidRDefault="002B46A2" w:rsidP="002B4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46A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policy/regulations-by-subject-area.html) courses that focus primarily on the applied, functional and/or </w:t>
            </w:r>
          </w:p>
          <w:p w14:paraId="5A25378A" w14:textId="2B8AA352" w:rsidR="002B46A2" w:rsidRPr="002B46A2" w:rsidRDefault="002B46A2" w:rsidP="002B4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46A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practical aspects of business are not transferable.</w:t>
            </w:r>
          </w:p>
        </w:tc>
      </w:tr>
    </w:tbl>
    <w:p w14:paraId="739CC732" w14:textId="77777777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76501A6A" w14:textId="4AB1C9CF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BUS 70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Introduction to Marketing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7DB04FAD" w14:textId="77777777" w:rsidR="000468BA" w:rsidRPr="000468BA" w:rsidRDefault="000468BA" w:rsidP="000468BA">
      <w:pPr>
        <w:spacing w:after="0" w:line="240" w:lineRule="auto"/>
        <w:rPr>
          <w:rFonts w:ascii="Aptos Narrow" w:eastAsia="Times New Roman" w:hAnsi="Aptos Narrow" w:cs="Times New Roman"/>
          <w:color w:val="000000"/>
          <w:spacing w:val="3"/>
          <w:kern w:val="0"/>
          <w:sz w:val="22"/>
          <w:szCs w:val="22"/>
          <w14:ligatures w14:val="none"/>
        </w:rPr>
      </w:pPr>
      <w:r w:rsidRPr="000468BA">
        <w:rPr>
          <w:rFonts w:ascii="Aptos Narrow" w:eastAsia="Times New Roman" w:hAnsi="Aptos Narrow" w:cs="Times New Roman"/>
          <w:color w:val="000000"/>
          <w:spacing w:val="3"/>
          <w:kern w:val="0"/>
          <w:sz w:val="22"/>
          <w:szCs w:val="22"/>
          <w14:ligatures w14:val="none"/>
        </w:rPr>
        <w:t>DENY: Per the TCA guidelines (https://www.ucop.edu/transfer-articulation/transferable-course-agreements/tca-policy/regulations-by-subject-area.html) courses that focus primarily on the applied, functional and/or practical aspects of business are not transferable.</w:t>
      </w:r>
    </w:p>
    <w:p w14:paraId="1C07020B" w14:textId="77777777" w:rsidR="001A04BB" w:rsidRDefault="001A04BB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3FD2F49B" w14:textId="38EC0416" w:rsidR="001A04BB" w:rsidRDefault="001A04BB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ESOL 50A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Advanced Listening and Speaking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(4.00) </w:t>
      </w:r>
    </w:p>
    <w:p w14:paraId="034D3F80" w14:textId="77777777" w:rsidR="000468BA" w:rsidRPr="000468BA" w:rsidRDefault="000468BA" w:rsidP="000468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68BA">
        <w:rPr>
          <w:rFonts w:ascii="Lato" w:eastAsia="Times New Roman" w:hAnsi="Lato" w:cs="Times New Roman"/>
          <w:color w:val="000000"/>
          <w:spacing w:val="3"/>
          <w:kern w:val="0"/>
          <w:sz w:val="20"/>
          <w:szCs w:val="20"/>
          <w:shd w:val="clear" w:color="auto" w:fill="F1F5FA"/>
          <w14:ligatures w14:val="none"/>
        </w:rPr>
        <w:t>DENY-</w:t>
      </w:r>
    </w:p>
    <w:tbl>
      <w:tblPr>
        <w:tblW w:w="15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0"/>
      </w:tblGrid>
      <w:tr w:rsidR="000468BA" w:rsidRPr="000468BA" w14:paraId="4FD82DB2" w14:textId="77777777" w:rsidTr="000468BA">
        <w:trPr>
          <w:trHeight w:val="300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FFA88" w14:textId="77777777" w:rsidR="000468BA" w:rsidRDefault="000468BA" w:rsidP="0004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68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ESL courses that focus exclusively on listening, reading comprehension, or speaking (conversational) </w:t>
            </w:r>
          </w:p>
          <w:p w14:paraId="4589BB03" w14:textId="08D86D26" w:rsidR="000468BA" w:rsidRPr="000468BA" w:rsidRDefault="000468BA" w:rsidP="0004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68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skills are not transferable.</w:t>
            </w:r>
          </w:p>
        </w:tc>
      </w:tr>
    </w:tbl>
    <w:p w14:paraId="228EA72D" w14:textId="77777777" w:rsidR="000468BA" w:rsidRDefault="000468BA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2171DB9F" w14:textId="2803352F" w:rsidR="001A04BB" w:rsidRDefault="001A04BB" w:rsidP="001A04BB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ESOL 50B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Oral Communication for Advanced ESOL Students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(4.00)</w:t>
      </w:r>
    </w:p>
    <w:p w14:paraId="4CE9E005" w14:textId="77777777" w:rsidR="000468BA" w:rsidRPr="000468BA" w:rsidRDefault="000468BA" w:rsidP="000468BA">
      <w:pPr>
        <w:spacing w:after="0" w:line="240" w:lineRule="auto"/>
        <w:rPr>
          <w:rFonts w:ascii="Calibri" w:eastAsia="Times New Roman" w:hAnsi="Calibri" w:cs="Calibri"/>
          <w:color w:val="000000"/>
          <w:spacing w:val="3"/>
          <w:kern w:val="0"/>
          <w:sz w:val="22"/>
          <w:szCs w:val="22"/>
          <w14:ligatures w14:val="none"/>
        </w:rPr>
      </w:pPr>
      <w:r w:rsidRPr="000468BA">
        <w:rPr>
          <w:rFonts w:ascii="Calibri" w:eastAsia="Times New Roman" w:hAnsi="Calibri" w:cs="Calibri"/>
          <w:color w:val="000000"/>
          <w:spacing w:val="3"/>
          <w:kern w:val="0"/>
          <w:sz w:val="22"/>
          <w:szCs w:val="22"/>
          <w14:ligatures w14:val="none"/>
        </w:rPr>
        <w:t>ESL courses that focus exclusively on listening, reading comprehension, or speaking (conversational) skills are not transferable.</w:t>
      </w:r>
    </w:p>
    <w:p w14:paraId="31590BDD" w14:textId="77777777" w:rsidR="001A04BB" w:rsidRDefault="001A04BB" w:rsidP="001A04BB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7FA2FAE9" w14:textId="476264BF" w:rsidR="001A04BB" w:rsidRDefault="001A04BB" w:rsidP="001A04BB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MATH 15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Mathematics for the Liberal Arts Students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 </w:t>
      </w:r>
    </w:p>
    <w:p w14:paraId="76785F0A" w14:textId="77777777" w:rsidR="002B46A2" w:rsidRPr="002B46A2" w:rsidRDefault="002B46A2" w:rsidP="002B46A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46A2">
        <w:rPr>
          <w:rFonts w:ascii="Times New Roman" w:eastAsia="Times New Roman" w:hAnsi="Times New Roman" w:cs="Times New Roman"/>
          <w:kern w:val="0"/>
          <w14:ligatures w14:val="none"/>
        </w:rPr>
        <w:t>Comment:</w:t>
      </w:r>
      <w:r w:rsidRPr="002B46A2">
        <w:rPr>
          <w:rFonts w:ascii="Lato" w:eastAsia="Times New Roman" w:hAnsi="Lato" w:cs="Times New Roman"/>
          <w:color w:val="000000"/>
          <w:spacing w:val="3"/>
          <w:kern w:val="0"/>
          <w:sz w:val="20"/>
          <w:szCs w:val="20"/>
          <w:shd w:val="clear" w:color="auto" w:fill="F1F5FA"/>
          <w14:ligatures w14:val="none"/>
        </w:rPr>
        <w:t> Deny:</w:t>
      </w:r>
    </w:p>
    <w:tbl>
      <w:tblPr>
        <w:tblW w:w="6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0"/>
      </w:tblGrid>
      <w:tr w:rsidR="002B46A2" w:rsidRPr="002B46A2" w14:paraId="5835F167" w14:textId="77777777" w:rsidTr="002B46A2">
        <w:trPr>
          <w:trHeight w:val="21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2F74D" w14:textId="77777777" w:rsidR="002B46A2" w:rsidRPr="002B46A2" w:rsidRDefault="002B46A2" w:rsidP="002B46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B46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 the TCA guidelines (https://www.ucop.edu/transfer-articulation/transferable-course-agreements/tca-policy/regulations-by-subject-area.html), math for liberal arts students should be on the same level as courses in college algebra, pre-calculus, finite math, and statistics, although without as much detail and in a manner more appropriate to students who will not use these topics in their major field of study.</w:t>
            </w:r>
          </w:p>
        </w:tc>
      </w:tr>
    </w:tbl>
    <w:p w14:paraId="6E956BB4" w14:textId="77777777" w:rsidR="001A04BB" w:rsidRDefault="001A04BB" w:rsidP="001A04BB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5E0666F3" w14:textId="45D2FB1B" w:rsidR="001A04BB" w:rsidRDefault="001A04BB" w:rsidP="001A04BB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lastRenderedPageBreak/>
        <w:t>MMART 168L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Online Games &amp; Interactivity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(1.00)</w:t>
      </w:r>
    </w:p>
    <w:p w14:paraId="7A1E7E93" w14:textId="0EC8C9E3" w:rsidR="002B46A2" w:rsidRDefault="002B46A2" w:rsidP="001A04BB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t>Comment:</w:t>
      </w:r>
      <w:r>
        <w:rPr>
          <w:rFonts w:ascii="Lato" w:hAnsi="Lato"/>
          <w:color w:val="000000"/>
          <w:spacing w:val="3"/>
          <w:sz w:val="20"/>
          <w:szCs w:val="20"/>
          <w:shd w:val="clear" w:color="auto" w:fill="F1F5FA"/>
        </w:rPr>
        <w:t> DENY:</w:t>
      </w:r>
    </w:p>
    <w:p w14:paraId="10F58406" w14:textId="5799DC53" w:rsidR="002B46A2" w:rsidRDefault="002B46A2" w:rsidP="001A04BB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Fonts w:ascii="Calibri" w:hAnsi="Calibri" w:cs="Calibri"/>
          <w:color w:val="000000"/>
          <w:spacing w:val="3"/>
          <w:sz w:val="22"/>
          <w:szCs w:val="22"/>
          <w:shd w:val="clear" w:color="auto" w:fill="F1F5FA"/>
        </w:rPr>
        <w:t>Outline is too short and lacking in detail to determine the depth, scope and rigor of the course.</w:t>
      </w:r>
    </w:p>
    <w:p w14:paraId="4ECC8400" w14:textId="77777777" w:rsidR="001A04BB" w:rsidRDefault="001A04BB" w:rsidP="001A04BB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7146283D" w14:textId="2669E460" w:rsidR="001A04BB" w:rsidRDefault="001A04BB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MM/AN 50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Career Preparation for Animation and Game Industries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245CCBDF" w14:textId="77777777" w:rsidR="00585540" w:rsidRPr="00585540" w:rsidRDefault="00585540" w:rsidP="0058554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5540">
        <w:rPr>
          <w:rFonts w:ascii="Lato" w:eastAsia="Times New Roman" w:hAnsi="Lato" w:cs="Times New Roman"/>
          <w:color w:val="000000"/>
          <w:spacing w:val="3"/>
          <w:kern w:val="0"/>
          <w:sz w:val="20"/>
          <w:szCs w:val="20"/>
          <w:shd w:val="clear" w:color="auto" w:fill="F1F5FA"/>
          <w14:ligatures w14:val="none"/>
        </w:rPr>
        <w:t>DENY-</w:t>
      </w:r>
    </w:p>
    <w:tbl>
      <w:tblPr>
        <w:tblW w:w="15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0"/>
      </w:tblGrid>
      <w:tr w:rsidR="00585540" w:rsidRPr="00585540" w14:paraId="59AC97F3" w14:textId="77777777" w:rsidTr="00585540">
        <w:trPr>
          <w:trHeight w:val="300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5EEF3" w14:textId="77777777" w:rsidR="00585540" w:rsidRPr="00585540" w:rsidRDefault="00585540" w:rsidP="0058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55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Practical and applied courses are not appropriate for transfer.</w:t>
            </w:r>
          </w:p>
        </w:tc>
      </w:tr>
    </w:tbl>
    <w:p w14:paraId="3875D925" w14:textId="77777777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64871B9C" w14:textId="55094725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MM/DI 11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Publication and Page Design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5CFC2677" w14:textId="41E864DF" w:rsidR="000468BA" w:rsidRDefault="000468BA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Fonts w:ascii="Aptos Narrow" w:hAnsi="Aptos Narrow"/>
          <w:color w:val="000000"/>
          <w:spacing w:val="3"/>
          <w:sz w:val="22"/>
          <w:szCs w:val="22"/>
          <w:shd w:val="clear" w:color="auto" w:fill="F1F5FA"/>
        </w:rPr>
        <w:t>Per the TCA guidelines (https://www.ucop.edu/transfer-articulation/transferable-course-agreements/tca-policy/regulations-by-subject-area.html), primarily professional or technical courses are not appropriate for transfer.</w:t>
      </w:r>
    </w:p>
    <w:p w14:paraId="3B721714" w14:textId="77777777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57CC01AE" w14:textId="3D2BB1B4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MM/DI 23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Digital Printing for Photographers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516FC1E1" w14:textId="5850892B" w:rsidR="000468BA" w:rsidRDefault="000468BA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Fonts w:ascii="Aptos Narrow" w:hAnsi="Aptos Narrow"/>
          <w:color w:val="000000"/>
          <w:spacing w:val="3"/>
          <w:sz w:val="22"/>
          <w:szCs w:val="22"/>
          <w:shd w:val="clear" w:color="auto" w:fill="F1F5FA"/>
        </w:rPr>
        <w:t>Per the TCA guidelines (https://www.ucop.edu/transfer-articulation/transferable-course-agreements/tca-policy/regulations-by-subject-area.html), primarily professional or technical courses are not appropriate for transfer.</w:t>
      </w:r>
    </w:p>
    <w:p w14:paraId="73A405FD" w14:textId="77777777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25FF44BD" w14:textId="371CA16B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MM/VI 5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The Art of Producing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</w:t>
      </w:r>
    </w:p>
    <w:p w14:paraId="3515C0D4" w14:textId="77777777" w:rsidR="000468BA" w:rsidRPr="000468BA" w:rsidRDefault="000468BA" w:rsidP="000468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68BA">
        <w:rPr>
          <w:rFonts w:ascii="Lato" w:eastAsia="Times New Roman" w:hAnsi="Lato" w:cs="Times New Roman"/>
          <w:color w:val="000000"/>
          <w:spacing w:val="3"/>
          <w:kern w:val="0"/>
          <w:sz w:val="20"/>
          <w:szCs w:val="20"/>
          <w:shd w:val="clear" w:color="auto" w:fill="F1F5FA"/>
          <w14:ligatures w14:val="none"/>
        </w:rPr>
        <w:t>DENY:</w:t>
      </w:r>
    </w:p>
    <w:tbl>
      <w:tblPr>
        <w:tblW w:w="15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0"/>
      </w:tblGrid>
      <w:tr w:rsidR="000468BA" w:rsidRPr="000468BA" w14:paraId="14BF3F59" w14:textId="77777777" w:rsidTr="000468BA">
        <w:trPr>
          <w:trHeight w:val="615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658F4" w14:textId="775187EF" w:rsidR="000468BA" w:rsidRDefault="000468BA" w:rsidP="0004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68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 the TCA guidelines (</w:t>
            </w:r>
            <w:hyperlink r:id="rId7" w:history="1">
              <w:r w:rsidRPr="000468BA">
                <w:rPr>
                  <w:rStyle w:val="Hyperlink"/>
                  <w:rFonts w:ascii="Calibri" w:eastAsia="Times New Roman" w:hAnsi="Calibri" w:cs="Calibri"/>
                  <w:kern w:val="0"/>
                  <w:sz w:val="22"/>
                  <w:szCs w:val="22"/>
                  <w14:ligatures w14:val="none"/>
                </w:rPr>
                <w:t>https://www.ucop.edu/transfer-articulation/transferable-course-agreements/tca-policy/</w:t>
              </w:r>
            </w:hyperlink>
          </w:p>
          <w:p w14:paraId="1E93520B" w14:textId="68210980" w:rsidR="000468BA" w:rsidRPr="000468BA" w:rsidRDefault="000468BA" w:rsidP="0004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468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regulations-by-subject-area.html), primarily professional or technical courses are not appropriate for transfer.</w:t>
            </w:r>
          </w:p>
        </w:tc>
      </w:tr>
    </w:tbl>
    <w:p w14:paraId="683B8003" w14:textId="77777777" w:rsidR="000468BA" w:rsidRDefault="000468BA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39E7292E" w14:textId="39B98D0C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 MM/VI 17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Social Media Production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(3.00) </w:t>
      </w:r>
    </w:p>
    <w:p w14:paraId="6341628F" w14:textId="77777777" w:rsidR="000468BA" w:rsidRPr="000468BA" w:rsidRDefault="000468BA" w:rsidP="000468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68BA">
        <w:rPr>
          <w:rFonts w:ascii="Times New Roman" w:eastAsia="Times New Roman" w:hAnsi="Times New Roman" w:cs="Times New Roman"/>
          <w:kern w:val="0"/>
          <w14:ligatures w14:val="none"/>
        </w:rPr>
        <w:t>Comment:</w:t>
      </w:r>
      <w:r w:rsidRPr="000468BA">
        <w:rPr>
          <w:rFonts w:ascii="Lato" w:eastAsia="Times New Roman" w:hAnsi="Lato" w:cs="Times New Roman"/>
          <w:color w:val="000000"/>
          <w:spacing w:val="3"/>
          <w:kern w:val="0"/>
          <w:sz w:val="20"/>
          <w:szCs w:val="20"/>
          <w:shd w:val="clear" w:color="auto" w:fill="F1F5FA"/>
          <w14:ligatures w14:val="none"/>
        </w:rPr>
        <w:t> DENY:</w:t>
      </w:r>
    </w:p>
    <w:tbl>
      <w:tblPr>
        <w:tblW w:w="6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0"/>
      </w:tblGrid>
      <w:tr w:rsidR="000468BA" w:rsidRPr="000468BA" w14:paraId="61FACFF9" w14:textId="77777777" w:rsidTr="000468BA">
        <w:trPr>
          <w:trHeight w:val="172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EF6B1" w14:textId="77777777" w:rsidR="000468BA" w:rsidRPr="000468BA" w:rsidRDefault="000468BA" w:rsidP="000468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468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 the TCA guidelines (https://www.ucop.edu/transfer-articulation/transferable-course-agreements/tca-policy/regulations-by-subject-area.html) commercial or professional art courses (e.g., advertising; commercial photography; interior design, etc.); craft courses (e.g., calligraphy; jewelry making; weaving, etc.) are not transferable.</w:t>
            </w:r>
          </w:p>
        </w:tc>
      </w:tr>
    </w:tbl>
    <w:p w14:paraId="6F67A56E" w14:textId="77777777" w:rsidR="001A04BB" w:rsidRDefault="001A04BB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698022C0" w14:textId="3F690312" w:rsidR="001A04BB" w:rsidRDefault="001A04BB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MM/VI 41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Introduction to Cinematography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(1.50)</w:t>
      </w:r>
    </w:p>
    <w:p w14:paraId="01E5D340" w14:textId="05D2F87A" w:rsidR="00585540" w:rsidRDefault="00585540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Fonts w:ascii="Calibri" w:hAnsi="Calibri" w:cs="Calibri"/>
          <w:color w:val="000000"/>
          <w:spacing w:val="3"/>
          <w:sz w:val="22"/>
          <w:szCs w:val="22"/>
          <w:shd w:val="clear" w:color="auto" w:fill="F1F5FA"/>
        </w:rPr>
        <w:t>Courses focused on professional development, certification or training are not appropriate for transfer.</w:t>
      </w:r>
    </w:p>
    <w:p w14:paraId="4BA9981E" w14:textId="77777777" w:rsidR="001A04BB" w:rsidRDefault="001A04BB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09BB2AC4" w14:textId="41E97B49" w:rsidR="001A04BB" w:rsidRDefault="001A04BB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Style w:val="Strong"/>
          <w:rFonts w:ascii="Lato" w:hAnsi="Lato"/>
          <w:color w:val="000000"/>
          <w:spacing w:val="3"/>
          <w:sz w:val="26"/>
          <w:szCs w:val="26"/>
          <w:shd w:val="clear" w:color="auto" w:fill="F1F5FB"/>
        </w:rPr>
        <w:t>MM/VI 42</w:t>
      </w:r>
      <w:r>
        <w:rPr>
          <w:rFonts w:ascii="Lato" w:hAnsi="Lato"/>
          <w:color w:val="000000"/>
          <w:spacing w:val="3"/>
          <w:sz w:val="26"/>
          <w:szCs w:val="26"/>
          <w:shd w:val="clear" w:color="auto" w:fill="F1F5FB"/>
        </w:rPr>
        <w:t> - Introduction to Motion Picture Lighting </w:t>
      </w:r>
      <w:r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  <w:t>(1.50)</w:t>
      </w:r>
    </w:p>
    <w:p w14:paraId="54D4469C" w14:textId="4A618606" w:rsidR="00585540" w:rsidRDefault="00585540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  <w:r>
        <w:rPr>
          <w:rFonts w:ascii="Aptos Narrow" w:hAnsi="Aptos Narrow"/>
          <w:color w:val="000000"/>
          <w:spacing w:val="3"/>
          <w:sz w:val="22"/>
          <w:szCs w:val="22"/>
          <w:shd w:val="clear" w:color="auto" w:fill="F1F5FA"/>
        </w:rPr>
        <w:t>Courses focused on professional development, certification or training are not appropriate for transfer.</w:t>
      </w:r>
    </w:p>
    <w:p w14:paraId="4398512A" w14:textId="77777777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1C5555E9" w14:textId="77777777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3B60E295" w14:textId="77777777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500B3BFC" w14:textId="77777777" w:rsidR="00136FFD" w:rsidRDefault="00136FFD" w:rsidP="00136FFD">
      <w:pPr>
        <w:spacing w:after="0" w:line="240" w:lineRule="auto"/>
        <w:ind w:left="-720"/>
        <w:rPr>
          <w:rStyle w:val="Emphasis"/>
          <w:rFonts w:ascii="Lato" w:hAnsi="Lato"/>
          <w:b/>
          <w:bCs/>
          <w:i w:val="0"/>
          <w:iCs w:val="0"/>
          <w:color w:val="000000"/>
          <w:spacing w:val="3"/>
          <w:sz w:val="26"/>
          <w:szCs w:val="26"/>
          <w:shd w:val="clear" w:color="auto" w:fill="F1F5FB"/>
        </w:rPr>
      </w:pPr>
    </w:p>
    <w:p w14:paraId="2A82E8BD" w14:textId="77777777" w:rsidR="00136FFD" w:rsidRPr="00136FFD" w:rsidRDefault="00136FFD" w:rsidP="00136FFD">
      <w:pPr>
        <w:spacing w:after="0" w:line="240" w:lineRule="auto"/>
        <w:ind w:left="-720"/>
        <w:rPr>
          <w:rFonts w:ascii="Lato" w:hAnsi="Lato"/>
          <w:b/>
          <w:bCs/>
          <w:color w:val="000000"/>
          <w:spacing w:val="3"/>
          <w:sz w:val="26"/>
          <w:szCs w:val="26"/>
          <w:shd w:val="clear" w:color="auto" w:fill="F1F5FB"/>
        </w:rPr>
      </w:pPr>
    </w:p>
    <w:p w14:paraId="5FC6E629" w14:textId="399520A2" w:rsidR="00136FFD" w:rsidRPr="00136FFD" w:rsidRDefault="00136FFD" w:rsidP="00136FFD">
      <w:pPr>
        <w:spacing w:after="0" w:line="240" w:lineRule="auto"/>
        <w:rPr>
          <w:rFonts w:ascii="Lato" w:eastAsia="Times New Roman" w:hAnsi="Lato" w:cs="Times New Roman"/>
          <w:color w:val="000000"/>
          <w:spacing w:val="3"/>
          <w:kern w:val="0"/>
          <w:sz w:val="20"/>
          <w:szCs w:val="20"/>
          <w:shd w:val="clear" w:color="auto" w:fill="F1F5FA"/>
          <w14:ligatures w14:val="none"/>
        </w:rPr>
      </w:pPr>
    </w:p>
    <w:sectPr w:rsidR="00136FFD" w:rsidRPr="00136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2200F"/>
    <w:multiLevelType w:val="multilevel"/>
    <w:tmpl w:val="17A80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9828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CF"/>
    <w:rsid w:val="000468BA"/>
    <w:rsid w:val="000C72BB"/>
    <w:rsid w:val="000E0120"/>
    <w:rsid w:val="00136FFD"/>
    <w:rsid w:val="001A04BB"/>
    <w:rsid w:val="00206392"/>
    <w:rsid w:val="002B46A2"/>
    <w:rsid w:val="00310C5D"/>
    <w:rsid w:val="00585540"/>
    <w:rsid w:val="00606B42"/>
    <w:rsid w:val="00810303"/>
    <w:rsid w:val="00975164"/>
    <w:rsid w:val="009B6401"/>
    <w:rsid w:val="00C43171"/>
    <w:rsid w:val="00CC7039"/>
    <w:rsid w:val="00DE49CF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A51B"/>
  <w15:chartTrackingRefBased/>
  <w15:docId w15:val="{8FE1EDC4-99DD-4829-98FA-A10798FC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9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9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9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9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9C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E49CF"/>
    <w:rPr>
      <w:b/>
      <w:bCs/>
    </w:rPr>
  </w:style>
  <w:style w:type="character" w:styleId="Emphasis">
    <w:name w:val="Emphasis"/>
    <w:basedOn w:val="DefaultParagraphFont"/>
    <w:uiPriority w:val="20"/>
    <w:qFormat/>
    <w:rsid w:val="00DE49CF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0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8634">
          <w:marLeft w:val="0"/>
          <w:marRight w:val="0"/>
          <w:marTop w:val="0"/>
          <w:marBottom w:val="0"/>
          <w:divBdr>
            <w:top w:val="none" w:sz="0" w:space="0" w:color="A5B3C5"/>
            <w:left w:val="none" w:sz="0" w:space="0" w:color="A5B3C5"/>
            <w:bottom w:val="none" w:sz="0" w:space="0" w:color="A5B3C5"/>
            <w:right w:val="none" w:sz="0" w:space="0" w:color="A5B3C5"/>
          </w:divBdr>
          <w:divsChild>
            <w:div w:id="19078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8142">
                          <w:marLeft w:val="375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3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op.edu/transfer-articulation/transferable-course-agreements/tca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op.edu/transfer-articulation/transferable-course-agreements/tca-" TargetMode="External"/><Relationship Id="rId5" Type="http://schemas.openxmlformats.org/officeDocument/2006/relationships/hyperlink" Target="https://www.ucop.edu/transfer-articulation/transferable-course-agreements/tca-polic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Bielanski</dc:creator>
  <cp:keywords/>
  <dc:description/>
  <cp:lastModifiedBy>Nancy Cayton</cp:lastModifiedBy>
  <cp:revision>3</cp:revision>
  <cp:lastPrinted>2024-07-03T18:00:00Z</cp:lastPrinted>
  <dcterms:created xsi:type="dcterms:W3CDTF">2024-09-03T23:27:00Z</dcterms:created>
  <dcterms:modified xsi:type="dcterms:W3CDTF">2024-09-03T23:28:00Z</dcterms:modified>
</cp:coreProperties>
</file>