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1E03EE81"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37548DA3"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w:t>
      </w:r>
      <w:r w:rsidR="00F42C00">
        <w:rPr>
          <w:rFonts w:ascii="Helvetica Neue" w:hAnsi="Helvetica Neue"/>
          <w:sz w:val="22"/>
          <w:szCs w:val="22"/>
        </w:rPr>
        <w:t>tudent s</w:t>
      </w:r>
      <w:r w:rsidR="00364CF3" w:rsidRPr="00E87A17">
        <w:rPr>
          <w:rFonts w:ascii="Helvetica Neue" w:hAnsi="Helvetica Neue"/>
          <w:sz w:val="22"/>
          <w:szCs w:val="22"/>
        </w:rPr>
        <w:t>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475F5E74"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6B50CB"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516B684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1AE49CC9"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14:paraId="6053CDA7" w14:textId="53CFEC2E"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1B5FDC3E"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694E5581" w:rsidR="00AC3850" w:rsidRPr="00AA1B22" w:rsidRDefault="00AA1B22" w:rsidP="00BF4F9D">
            <w:pPr>
              <w:pStyle w:val="NoSpacing"/>
              <w:ind w:left="46"/>
              <w:rPr>
                <w:rFonts w:ascii="Helvetica Neue" w:hAnsi="Helvetica Neue"/>
              </w:rPr>
            </w:pPr>
            <w:r>
              <w:rPr>
                <w:rFonts w:ascii="Helvetica Neue" w:hAnsi="Helvetica Neue"/>
              </w:rPr>
              <w:t>Elissa Jaw</w:t>
            </w:r>
          </w:p>
          <w:p w14:paraId="0C4DDCDE" w14:textId="1F4857A2"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13FF4056" w:rsidR="00AC3850" w:rsidRPr="00AA1B22" w:rsidRDefault="00AA1B22" w:rsidP="00BF4F9D">
            <w:pPr>
              <w:pStyle w:val="NoSpacing"/>
              <w:ind w:left="46"/>
              <w:rPr>
                <w:rFonts w:ascii="Helvetica Neue" w:hAnsi="Helvetica Neue"/>
              </w:rPr>
            </w:pPr>
            <w:r>
              <w:rPr>
                <w:rFonts w:ascii="Helvetica Neue" w:hAnsi="Helvetica Neue"/>
              </w:rPr>
              <w:t>Student Accessibility Services</w:t>
            </w:r>
          </w:p>
        </w:tc>
        <w:tc>
          <w:tcPr>
            <w:tcW w:w="2101" w:type="dxa"/>
            <w:shd w:val="clear" w:color="auto" w:fill="FFF2CC" w:themeFill="accent4" w:themeFillTint="33"/>
            <w:vAlign w:val="bottom"/>
          </w:tcPr>
          <w:p w14:paraId="32758B3C" w14:textId="15661ADE" w:rsidR="00AC3850" w:rsidRPr="00AA1B22" w:rsidRDefault="00AA1B22" w:rsidP="00BF4F9D">
            <w:pPr>
              <w:pStyle w:val="NoSpacing"/>
              <w:ind w:left="46"/>
              <w:rPr>
                <w:rFonts w:ascii="Helvetica Neue" w:hAnsi="Helvetica Neue"/>
              </w:rPr>
            </w:pPr>
            <w:r>
              <w:rPr>
                <w:rFonts w:ascii="Helvetica Neue" w:hAnsi="Helvetica Neue"/>
              </w:rPr>
              <w:t>1/14/2022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06FBB4CB"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111E5CDF" w14:textId="54DD80D2" w:rsidR="00495986" w:rsidRDefault="00495986" w:rsidP="00BF4F9D">
            <w:pPr>
              <w:pStyle w:val="NoSpacing"/>
              <w:rPr>
                <w:rFonts w:ascii="Helvetica Neue" w:hAnsi="Helvetica Neue"/>
              </w:rPr>
            </w:pPr>
            <w:r>
              <w:rPr>
                <w:rFonts w:ascii="Helvetica Neue" w:hAnsi="Helvetica Neue"/>
              </w:rPr>
              <w:t>Catherine Lynn Massey</w:t>
            </w:r>
          </w:p>
          <w:p w14:paraId="50A3DFC4" w14:textId="22DB2B80" w:rsidR="00495986" w:rsidRDefault="00495986" w:rsidP="00BF4F9D">
            <w:pPr>
              <w:pStyle w:val="NoSpacing"/>
              <w:rPr>
                <w:rFonts w:ascii="Helvetica Neue" w:hAnsi="Helvetica Neue"/>
              </w:rPr>
            </w:pPr>
            <w:r>
              <w:rPr>
                <w:rFonts w:ascii="Helvetica Neue" w:hAnsi="Helvetica Neue"/>
              </w:rPr>
              <w:t>Roberto Gonzalez</w:t>
            </w:r>
          </w:p>
          <w:p w14:paraId="2411B37E" w14:textId="4BBF9E07" w:rsidR="00C634A7" w:rsidRDefault="00495986" w:rsidP="00BF4F9D">
            <w:pPr>
              <w:pStyle w:val="NoSpacing"/>
              <w:rPr>
                <w:rFonts w:ascii="Helvetica Neue" w:hAnsi="Helvetica Neue"/>
              </w:rPr>
            </w:pPr>
            <w:r>
              <w:rPr>
                <w:rFonts w:ascii="Helvetica Neue" w:hAnsi="Helvetica Neue"/>
              </w:rPr>
              <w:t>Maricela Becerra</w:t>
            </w:r>
          </w:p>
          <w:p w14:paraId="6779B3BC" w14:textId="77777777" w:rsidR="00495986" w:rsidRDefault="00495986" w:rsidP="00BF4F9D">
            <w:pPr>
              <w:pStyle w:val="NoSpacing"/>
              <w:rPr>
                <w:rFonts w:ascii="Helvetica Neue" w:hAnsi="Helvetica Neue"/>
              </w:rPr>
            </w:pPr>
            <w:r>
              <w:rPr>
                <w:rFonts w:ascii="Helvetica Neue" w:hAnsi="Helvetica Neue"/>
              </w:rPr>
              <w:t>Dolores Harshaw</w:t>
            </w:r>
          </w:p>
          <w:p w14:paraId="049756DB" w14:textId="224D8FE5" w:rsidR="00495986" w:rsidRPr="00495986" w:rsidRDefault="00495986" w:rsidP="00BF4F9D">
            <w:pPr>
              <w:pStyle w:val="NoSpacing"/>
              <w:rPr>
                <w:rFonts w:ascii="Helvetica Neue" w:hAnsi="Helvetica Neue"/>
              </w:rPr>
            </w:pPr>
            <w:r>
              <w:rPr>
                <w:rFonts w:ascii="Helvetica Neue" w:hAnsi="Helvetica Neue"/>
              </w:rPr>
              <w:t>Elissa Jaw</w:t>
            </w:r>
          </w:p>
        </w:tc>
        <w:tc>
          <w:tcPr>
            <w:tcW w:w="4963" w:type="dxa"/>
            <w:gridSpan w:val="2"/>
            <w:tcBorders>
              <w:top w:val="single" w:sz="4" w:space="0" w:color="auto"/>
            </w:tcBorders>
            <w:shd w:val="clear" w:color="auto" w:fill="FFF2CC" w:themeFill="accent4" w:themeFillTint="33"/>
            <w:vAlign w:val="bottom"/>
          </w:tcPr>
          <w:p w14:paraId="33D0569D" w14:textId="055B6B62" w:rsidR="00C634A7" w:rsidRDefault="00495986" w:rsidP="00BF4F9D">
            <w:pPr>
              <w:pStyle w:val="NoSpacing"/>
              <w:rPr>
                <w:rFonts w:ascii="Helvetica Neue" w:hAnsi="Helvetica Neue"/>
              </w:rPr>
            </w:pPr>
            <w:r>
              <w:rPr>
                <w:rFonts w:ascii="Helvetica Neue" w:hAnsi="Helvetica Neue"/>
              </w:rPr>
              <w:t>Aidan Kyle Carter</w:t>
            </w:r>
          </w:p>
          <w:p w14:paraId="1F33417B" w14:textId="38545C36" w:rsidR="00495986" w:rsidRDefault="00495986" w:rsidP="00BF4F9D">
            <w:pPr>
              <w:pStyle w:val="NoSpacing"/>
              <w:rPr>
                <w:rFonts w:ascii="Helvetica Neue" w:hAnsi="Helvetica Neue"/>
              </w:rPr>
            </w:pPr>
            <w:proofErr w:type="spellStart"/>
            <w:r>
              <w:rPr>
                <w:rFonts w:ascii="Helvetica Neue" w:hAnsi="Helvetica Neue"/>
              </w:rPr>
              <w:t>Bendi</w:t>
            </w:r>
            <w:proofErr w:type="spellEnd"/>
            <w:r>
              <w:rPr>
                <w:rFonts w:ascii="Helvetica Neue" w:hAnsi="Helvetica Neue"/>
              </w:rPr>
              <w:t xml:space="preserve"> Yilmaz</w:t>
            </w:r>
          </w:p>
          <w:p w14:paraId="17624662" w14:textId="5704E6C5" w:rsidR="00495986" w:rsidRDefault="00495986" w:rsidP="00BF4F9D">
            <w:pPr>
              <w:pStyle w:val="NoSpacing"/>
              <w:rPr>
                <w:rFonts w:ascii="Helvetica Neue" w:hAnsi="Helvetica Neue"/>
              </w:rPr>
            </w:pPr>
            <w:r>
              <w:rPr>
                <w:rFonts w:ascii="Helvetica Neue" w:hAnsi="Helvetica Neue"/>
              </w:rPr>
              <w:t>Jean Rowland</w:t>
            </w:r>
          </w:p>
          <w:p w14:paraId="7215EC81" w14:textId="022ED6B6" w:rsidR="00495986" w:rsidRPr="007335EF" w:rsidRDefault="00495986" w:rsidP="00BF4F9D">
            <w:pPr>
              <w:pStyle w:val="NoSpacing"/>
              <w:rPr>
                <w:rFonts w:ascii="Helvetica Neue" w:hAnsi="Helvetica Neue"/>
              </w:rPr>
            </w:pPr>
            <w:r>
              <w:rPr>
                <w:rFonts w:ascii="Helvetica Neue" w:hAnsi="Helvetica Neue"/>
              </w:rPr>
              <w:t>Jessica Kumar</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122AC299" w:rsidR="00D34063" w:rsidRPr="007335EF"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6B50CB"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32EF0842"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5384430D" w:rsidR="00106447" w:rsidRPr="007335EF" w:rsidRDefault="00E12704" w:rsidP="00EE3904">
            <w:pPr>
              <w:rPr>
                <w:rFonts w:ascii="Helvetica Neue" w:hAnsi="Helvetica Neue"/>
                <w:sz w:val="22"/>
                <w:szCs w:val="22"/>
              </w:rPr>
            </w:pPr>
            <w:r>
              <w:rPr>
                <w:rFonts w:ascii="Helvetica Neue" w:hAnsi="Helvetica Neue"/>
                <w:sz w:val="22"/>
                <w:szCs w:val="22"/>
              </w:rPr>
              <w:t>According to the Chancellor’s Office Data Mart website, i</w:t>
            </w:r>
            <w:r w:rsidR="00632E12">
              <w:rPr>
                <w:rFonts w:ascii="Helvetica Neue" w:hAnsi="Helvetica Neue"/>
                <w:sz w:val="22"/>
                <w:szCs w:val="22"/>
              </w:rPr>
              <w:t xml:space="preserve">n </w:t>
            </w:r>
            <w:r w:rsidR="003D45B0">
              <w:rPr>
                <w:rFonts w:ascii="Helvetica Neue" w:hAnsi="Helvetica Neue"/>
                <w:sz w:val="22"/>
                <w:szCs w:val="22"/>
              </w:rPr>
              <w:t>2018-2019, total SAS student enrollment was 469. In 2019-2020, it increased to 509 and last year in 2020-2021, the total SAS enrollment at BCC was 370.</w:t>
            </w:r>
            <w:r w:rsidR="000B0C10">
              <w:rPr>
                <w:rFonts w:ascii="Helvetica Neue" w:hAnsi="Helvetica Neue"/>
                <w:sz w:val="22"/>
                <w:szCs w:val="22"/>
              </w:rPr>
              <w:t xml:space="preserve"> </w:t>
            </w:r>
            <w:r w:rsidR="005D31E6">
              <w:rPr>
                <w:rFonts w:ascii="Helvetica Neue" w:hAnsi="Helvetica Neue"/>
                <w:sz w:val="22"/>
                <w:szCs w:val="22"/>
              </w:rPr>
              <w:t xml:space="preserve">Information from PCCD BI tool showed the </w:t>
            </w:r>
            <w:r w:rsidR="000B0C10">
              <w:rPr>
                <w:rFonts w:ascii="Helvetica Neue" w:hAnsi="Helvetica Neue"/>
                <w:sz w:val="22"/>
                <w:szCs w:val="22"/>
              </w:rPr>
              <w:t xml:space="preserve">largest change in student ethnicity for SAS students was for African Americans. From 2018-19 to 2019-20 African American student enrollment dropped </w:t>
            </w:r>
            <w:proofErr w:type="gramStart"/>
            <w:r w:rsidR="000B0C10">
              <w:rPr>
                <w:rFonts w:ascii="Helvetica Neue" w:hAnsi="Helvetica Neue"/>
                <w:sz w:val="22"/>
                <w:szCs w:val="22"/>
              </w:rPr>
              <w:t>3.31%, and</w:t>
            </w:r>
            <w:proofErr w:type="gramEnd"/>
            <w:r w:rsidR="000B0C10">
              <w:rPr>
                <w:rFonts w:ascii="Helvetica Neue" w:hAnsi="Helvetica Neue"/>
                <w:sz w:val="22"/>
                <w:szCs w:val="22"/>
              </w:rPr>
              <w:t xml:space="preserve"> </w:t>
            </w:r>
            <w:r w:rsidR="00A46BA2">
              <w:rPr>
                <w:rFonts w:ascii="Helvetica Neue" w:hAnsi="Helvetica Neue"/>
                <w:sz w:val="22"/>
                <w:szCs w:val="22"/>
              </w:rPr>
              <w:t xml:space="preserve">decreased </w:t>
            </w:r>
            <w:r w:rsidR="000B0C10">
              <w:rPr>
                <w:rFonts w:ascii="Helvetica Neue" w:hAnsi="Helvetica Neue"/>
                <w:sz w:val="22"/>
                <w:szCs w:val="22"/>
              </w:rPr>
              <w:t xml:space="preserve">again from 2019-20 to 2020-21 by 3.64%. Asian American students also dropped from 2018-19 to 2019-20 by </w:t>
            </w:r>
            <w:proofErr w:type="gramStart"/>
            <w:r w:rsidR="000B0C10">
              <w:rPr>
                <w:rFonts w:ascii="Helvetica Neue" w:hAnsi="Helvetica Neue"/>
                <w:sz w:val="22"/>
                <w:szCs w:val="22"/>
              </w:rPr>
              <w:t>2.6%, but</w:t>
            </w:r>
            <w:proofErr w:type="gramEnd"/>
            <w:r w:rsidR="000B0C10">
              <w:rPr>
                <w:rFonts w:ascii="Helvetica Neue" w:hAnsi="Helvetica Neue"/>
                <w:sz w:val="22"/>
                <w:szCs w:val="22"/>
              </w:rPr>
              <w:t xml:space="preserve"> rebounded by 1.97% from 2019-20 to 2020-21.</w:t>
            </w:r>
            <w:r w:rsidR="005D31E6">
              <w:rPr>
                <w:rFonts w:ascii="Helvetica Neue" w:hAnsi="Helvetica Neue"/>
                <w:sz w:val="22"/>
                <w:szCs w:val="22"/>
              </w:rPr>
              <w:t xml:space="preserve"> Changes with other ethnic groups only showed a 2.2% variation or less during these academic years.</w:t>
            </w: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40FA42E1"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FDB816" w14:textId="2A8EBAB9" w:rsidR="000D087A" w:rsidRPr="007335EF" w:rsidRDefault="005D31E6" w:rsidP="00EE3904">
            <w:pPr>
              <w:rPr>
                <w:rFonts w:ascii="Helvetica Neue" w:hAnsi="Helvetica Neue"/>
                <w:sz w:val="22"/>
                <w:szCs w:val="22"/>
              </w:rPr>
            </w:pPr>
            <w:r>
              <w:rPr>
                <w:rFonts w:ascii="Helvetica Neue" w:hAnsi="Helvetica Neue"/>
                <w:sz w:val="22"/>
                <w:szCs w:val="22"/>
              </w:rPr>
              <w:t>SAS will conduct outreach workshops with the Umoja program and students.</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2988D0F5" w14:textId="77777777" w:rsidR="005D31E6" w:rsidRPr="007335EF" w:rsidRDefault="005D31E6" w:rsidP="005D31E6">
            <w:pPr>
              <w:rPr>
                <w:rFonts w:ascii="Helvetica Neue" w:hAnsi="Helvetica Neue"/>
                <w:sz w:val="22"/>
                <w:szCs w:val="22"/>
              </w:rPr>
            </w:pPr>
            <w:r>
              <w:rPr>
                <w:rFonts w:ascii="Helvetica Neue" w:hAnsi="Helvetica Neue"/>
                <w:sz w:val="22"/>
                <w:szCs w:val="22"/>
              </w:rPr>
              <w:t>SAS will conduct outreach workshops with the Umoja program and students.</w:t>
            </w:r>
          </w:p>
          <w:p w14:paraId="3EB16540" w14:textId="12C1A2A2"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00C51203" w14:textId="77777777" w:rsidR="005D31E6" w:rsidRPr="007335EF" w:rsidRDefault="005D31E6" w:rsidP="005D31E6">
            <w:pPr>
              <w:rPr>
                <w:rFonts w:ascii="Helvetica Neue" w:hAnsi="Helvetica Neue"/>
                <w:sz w:val="22"/>
                <w:szCs w:val="22"/>
              </w:rPr>
            </w:pPr>
            <w:r>
              <w:rPr>
                <w:rFonts w:ascii="Helvetica Neue" w:hAnsi="Helvetica Neue"/>
                <w:sz w:val="22"/>
                <w:szCs w:val="22"/>
              </w:rPr>
              <w:t>SAS will conduct outreach workshops with the Umoja program and students.</w:t>
            </w:r>
          </w:p>
          <w:p w14:paraId="36860BD6" w14:textId="77777777" w:rsidR="000D087A" w:rsidRPr="007335EF" w:rsidRDefault="000D087A" w:rsidP="00EE3904">
            <w:pPr>
              <w:rPr>
                <w:rFonts w:ascii="Helvetica Neue" w:hAnsi="Helvetica Neue"/>
                <w:sz w:val="22"/>
                <w:szCs w:val="22"/>
              </w:rPr>
            </w:pPr>
          </w:p>
        </w:tc>
      </w:tr>
      <w:tr w:rsidR="00106447" w:rsidRPr="00EC7286" w14:paraId="3E1E0B48" w14:textId="77777777" w:rsidTr="00106447">
        <w:tc>
          <w:tcPr>
            <w:tcW w:w="9926" w:type="dxa"/>
            <w:gridSpan w:val="3"/>
          </w:tcPr>
          <w:p w14:paraId="4FE5CE09" w14:textId="14CA130D"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would you recommend that we do to increase student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in your </w:t>
            </w:r>
            <w:r w:rsidR="00F208D2">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gridSpan w:val="3"/>
            <w:shd w:val="clear" w:color="auto" w:fill="FFF2CC" w:themeFill="accent4" w:themeFillTint="33"/>
          </w:tcPr>
          <w:p w14:paraId="4D1E159C" w14:textId="755002E4" w:rsidR="00106447" w:rsidRPr="007335EF" w:rsidRDefault="00ED2DC7" w:rsidP="00EE3904">
            <w:pPr>
              <w:rPr>
                <w:rFonts w:ascii="Helvetica Neue" w:hAnsi="Helvetica Neue"/>
                <w:sz w:val="22"/>
                <w:szCs w:val="22"/>
              </w:rPr>
            </w:pPr>
            <w:r>
              <w:rPr>
                <w:rFonts w:ascii="Helvetica Neue" w:hAnsi="Helvetica Neue"/>
                <w:sz w:val="22"/>
                <w:szCs w:val="22"/>
              </w:rPr>
              <w:t xml:space="preserve">Increased outreach with instructional departments, Student Services programs such as Wellness Center, and external programs such as CA State Department of Rehabilitation, CIL, Lighthouse for the Blind, and Regional Center programs. Outreach or specialized workshops for graduating high school seniors who </w:t>
            </w:r>
            <w:r w:rsidR="00FA1F05">
              <w:rPr>
                <w:rFonts w:ascii="Helvetica Neue" w:hAnsi="Helvetica Neue"/>
                <w:sz w:val="22"/>
                <w:szCs w:val="22"/>
              </w:rPr>
              <w:t>have an IEP/504 Plan.</w:t>
            </w:r>
            <w:r w:rsidR="007B2544">
              <w:rPr>
                <w:rFonts w:ascii="Helvetica Neue" w:hAnsi="Helvetica Neue"/>
                <w:sz w:val="22"/>
                <w:szCs w:val="22"/>
              </w:rPr>
              <w:t xml:space="preserve"> This will require increased funding for SAS counseling services.</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310BBBE8"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Course Completion and Retentio</w:t>
              </w:r>
              <w:r w:rsidRPr="00F208D2">
                <w:rPr>
                  <w:rStyle w:val="Hyperlink"/>
                  <w:rFonts w:ascii="Helvetica Neue" w:eastAsia="Avenir" w:hAnsi="Helvetica Neue" w:cs="Avenir"/>
                  <w:b/>
                  <w:bCs/>
                  <w:sz w:val="26"/>
                  <w:szCs w:val="26"/>
                </w:rPr>
                <w:t>n</w:t>
              </w:r>
              <w:r w:rsidRPr="00F208D2">
                <w:rPr>
                  <w:rStyle w:val="Hyperlink"/>
                  <w:rFonts w:ascii="Helvetica Neue" w:eastAsia="Avenir" w:hAnsi="Helvetica Neue" w:cs="Avenir"/>
                  <w:b/>
                  <w:bCs/>
                  <w:sz w:val="26"/>
                  <w:szCs w:val="26"/>
                </w:rPr>
                <w:t xml:space="preserve"> Rates Dashboard – </w:t>
              </w:r>
              <w:r w:rsidR="00F208D2" w:rsidRPr="00F208D2">
                <w:rPr>
                  <w:rStyle w:val="Hyperlink"/>
                  <w:rFonts w:ascii="Helvetica Neue" w:eastAsia="Avenir" w:hAnsi="Helvetica Neue" w:cs="Avenir"/>
                  <w:b/>
                  <w:bCs/>
                  <w:sz w:val="26"/>
                  <w:szCs w:val="26"/>
                </w:rPr>
                <w:t>Student Services</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52C2CF6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69474A37" w:rsidR="00106447" w:rsidRDefault="00613FE2" w:rsidP="0005351F">
            <w:pPr>
              <w:rPr>
                <w:rFonts w:ascii="Helvetica Neue" w:eastAsia="Avenir" w:hAnsi="Helvetica Neue" w:cs="Avenir"/>
                <w:sz w:val="22"/>
                <w:szCs w:val="22"/>
              </w:rPr>
            </w:pPr>
            <w:proofErr w:type="gramStart"/>
            <w:r>
              <w:rPr>
                <w:rFonts w:ascii="Helvetica Neue" w:eastAsia="Avenir" w:hAnsi="Helvetica Neue" w:cs="Avenir"/>
                <w:sz w:val="22"/>
                <w:szCs w:val="22"/>
              </w:rPr>
              <w:lastRenderedPageBreak/>
              <w:t>In regard to</w:t>
            </w:r>
            <w:proofErr w:type="gramEnd"/>
            <w:r>
              <w:rPr>
                <w:rFonts w:ascii="Helvetica Neue" w:eastAsia="Avenir" w:hAnsi="Helvetica Neue" w:cs="Avenir"/>
                <w:sz w:val="22"/>
                <w:szCs w:val="22"/>
              </w:rPr>
              <w:t xml:space="preserve"> gender, SAS student completion rates (excluding MWs &amp; EWs) show</w:t>
            </w:r>
            <w:r w:rsidR="007F033D">
              <w:rPr>
                <w:rFonts w:ascii="Helvetica Neue" w:eastAsia="Avenir" w:hAnsi="Helvetica Neue" w:cs="Avenir"/>
                <w:sz w:val="22"/>
                <w:szCs w:val="22"/>
              </w:rPr>
              <w:t xml:space="preserve">ed significant </w:t>
            </w:r>
            <w:r>
              <w:rPr>
                <w:rFonts w:ascii="Helvetica Neue" w:eastAsia="Avenir" w:hAnsi="Helvetica Neue" w:cs="Avenir"/>
                <w:sz w:val="22"/>
                <w:szCs w:val="22"/>
              </w:rPr>
              <w:t>increase</w:t>
            </w:r>
            <w:r w:rsidR="007F033D">
              <w:rPr>
                <w:rFonts w:ascii="Helvetica Neue" w:eastAsia="Avenir" w:hAnsi="Helvetica Neue" w:cs="Avenir"/>
                <w:sz w:val="22"/>
                <w:szCs w:val="22"/>
              </w:rPr>
              <w:t>s</w:t>
            </w:r>
            <w:r>
              <w:rPr>
                <w:rFonts w:ascii="Helvetica Neue" w:eastAsia="Avenir" w:hAnsi="Helvetica Neue" w:cs="Avenir"/>
                <w:sz w:val="22"/>
                <w:szCs w:val="22"/>
              </w:rPr>
              <w:t xml:space="preserve"> for</w:t>
            </w:r>
            <w:r w:rsidR="007F033D">
              <w:rPr>
                <w:rFonts w:ascii="Helvetica Neue" w:eastAsia="Avenir" w:hAnsi="Helvetica Neue" w:cs="Avenir"/>
                <w:sz w:val="22"/>
                <w:szCs w:val="22"/>
              </w:rPr>
              <w:t xml:space="preserve"> both</w:t>
            </w:r>
            <w:r>
              <w:rPr>
                <w:rFonts w:ascii="Helvetica Neue" w:eastAsia="Avenir" w:hAnsi="Helvetica Neue" w:cs="Avenir"/>
                <w:sz w:val="22"/>
                <w:szCs w:val="22"/>
              </w:rPr>
              <w:t xml:space="preserve"> m</w:t>
            </w:r>
            <w:r w:rsidR="007F033D">
              <w:rPr>
                <w:rFonts w:ascii="Helvetica Neue" w:eastAsia="Avenir" w:hAnsi="Helvetica Neue" w:cs="Avenir"/>
                <w:sz w:val="22"/>
                <w:szCs w:val="22"/>
              </w:rPr>
              <w:t>en and women</w:t>
            </w:r>
            <w:r>
              <w:rPr>
                <w:rFonts w:ascii="Helvetica Neue" w:eastAsia="Avenir" w:hAnsi="Helvetica Neue" w:cs="Avenir"/>
                <w:sz w:val="22"/>
                <w:szCs w:val="22"/>
              </w:rPr>
              <w:t xml:space="preserve"> </w:t>
            </w:r>
            <w:r w:rsidR="007F033D">
              <w:rPr>
                <w:rFonts w:ascii="Helvetica Neue" w:eastAsia="Avenir" w:hAnsi="Helvetica Neue" w:cs="Avenir"/>
                <w:sz w:val="22"/>
                <w:szCs w:val="22"/>
              </w:rPr>
              <w:t>from</w:t>
            </w:r>
            <w:r>
              <w:rPr>
                <w:rFonts w:ascii="Helvetica Neue" w:eastAsia="Avenir" w:hAnsi="Helvetica Neue" w:cs="Avenir"/>
                <w:sz w:val="22"/>
                <w:szCs w:val="22"/>
              </w:rPr>
              <w:t xml:space="preserve"> 2018-2019 </w:t>
            </w:r>
            <w:r w:rsidR="007F033D">
              <w:rPr>
                <w:rFonts w:ascii="Helvetica Neue" w:eastAsia="Avenir" w:hAnsi="Helvetica Neue" w:cs="Avenir"/>
                <w:sz w:val="22"/>
                <w:szCs w:val="22"/>
              </w:rPr>
              <w:t xml:space="preserve">to 2019-2020 </w:t>
            </w:r>
            <w:r>
              <w:rPr>
                <w:rFonts w:ascii="Helvetica Neue" w:eastAsia="Avenir" w:hAnsi="Helvetica Neue" w:cs="Avenir"/>
                <w:sz w:val="22"/>
                <w:szCs w:val="22"/>
              </w:rPr>
              <w:t>academic year</w:t>
            </w:r>
            <w:r w:rsidR="007F033D">
              <w:rPr>
                <w:rFonts w:ascii="Helvetica Neue" w:eastAsia="Avenir" w:hAnsi="Helvetica Neue" w:cs="Avenir"/>
                <w:sz w:val="22"/>
                <w:szCs w:val="22"/>
              </w:rPr>
              <w:t xml:space="preserve">s </w:t>
            </w:r>
            <w:r>
              <w:rPr>
                <w:rFonts w:ascii="Helvetica Neue" w:eastAsia="Avenir" w:hAnsi="Helvetica Neue" w:cs="Avenir"/>
                <w:sz w:val="22"/>
                <w:szCs w:val="22"/>
              </w:rPr>
              <w:t>(11.0%</w:t>
            </w:r>
            <w:r w:rsidR="007F033D">
              <w:rPr>
                <w:rFonts w:ascii="Helvetica Neue" w:eastAsia="Avenir" w:hAnsi="Helvetica Neue" w:cs="Avenir"/>
                <w:sz w:val="22"/>
                <w:szCs w:val="22"/>
              </w:rPr>
              <w:t xml:space="preserve"> and</w:t>
            </w:r>
            <w:r>
              <w:rPr>
                <w:rFonts w:ascii="Helvetica Neue" w:eastAsia="Avenir" w:hAnsi="Helvetica Neue" w:cs="Avenir"/>
                <w:sz w:val="22"/>
                <w:szCs w:val="22"/>
              </w:rPr>
              <w:t xml:space="preserve"> 10.5%</w:t>
            </w:r>
            <w:r w:rsidR="007F033D">
              <w:rPr>
                <w:rFonts w:ascii="Helvetica Neue" w:eastAsia="Avenir" w:hAnsi="Helvetica Neue" w:cs="Avenir"/>
                <w:sz w:val="22"/>
                <w:szCs w:val="22"/>
              </w:rPr>
              <w:t xml:space="preserve"> respectively)</w:t>
            </w:r>
            <w:r>
              <w:rPr>
                <w:rFonts w:ascii="Helvetica Neue" w:eastAsia="Avenir" w:hAnsi="Helvetica Neue" w:cs="Avenir"/>
                <w:sz w:val="22"/>
                <w:szCs w:val="22"/>
              </w:rPr>
              <w:t>. From 2019-2020 to 2020-2021 academic year</w:t>
            </w:r>
            <w:r w:rsidR="007F033D">
              <w:rPr>
                <w:rFonts w:ascii="Helvetica Neue" w:eastAsia="Avenir" w:hAnsi="Helvetica Neue" w:cs="Avenir"/>
                <w:sz w:val="22"/>
                <w:szCs w:val="22"/>
              </w:rPr>
              <w:t>s</w:t>
            </w:r>
            <w:r>
              <w:rPr>
                <w:rFonts w:ascii="Helvetica Neue" w:eastAsia="Avenir" w:hAnsi="Helvetica Neue" w:cs="Avenir"/>
                <w:sz w:val="22"/>
                <w:szCs w:val="22"/>
              </w:rPr>
              <w:t>, the highest increase of completion was for men at 8.4%</w:t>
            </w:r>
            <w:r w:rsidR="007F033D">
              <w:rPr>
                <w:rFonts w:ascii="Helvetica Neue" w:eastAsia="Avenir" w:hAnsi="Helvetica Neue" w:cs="Avenir"/>
                <w:sz w:val="22"/>
                <w:szCs w:val="22"/>
              </w:rPr>
              <w:t>, while women showed a moderate increase of 4.2%</w:t>
            </w:r>
            <w:r>
              <w:rPr>
                <w:rFonts w:ascii="Helvetica Neue" w:eastAsia="Avenir" w:hAnsi="Helvetica Neue" w:cs="Avenir"/>
                <w:sz w:val="22"/>
                <w:szCs w:val="22"/>
              </w:rPr>
              <w:t xml:space="preserve">. Retention rates for men and women were also up </w:t>
            </w:r>
            <w:r w:rsidR="00E652A8">
              <w:rPr>
                <w:rFonts w:ascii="Helvetica Neue" w:eastAsia="Avenir" w:hAnsi="Helvetica Neue" w:cs="Avenir"/>
                <w:sz w:val="22"/>
                <w:szCs w:val="22"/>
              </w:rPr>
              <w:t>from</w:t>
            </w:r>
            <w:r>
              <w:rPr>
                <w:rFonts w:ascii="Helvetica Neue" w:eastAsia="Avenir" w:hAnsi="Helvetica Neue" w:cs="Avenir"/>
                <w:sz w:val="22"/>
                <w:szCs w:val="22"/>
              </w:rPr>
              <w:t xml:space="preserve"> 2018-2019</w:t>
            </w:r>
            <w:r w:rsidR="00E652A8">
              <w:rPr>
                <w:rFonts w:ascii="Helvetica Neue" w:eastAsia="Avenir" w:hAnsi="Helvetica Neue" w:cs="Avenir"/>
                <w:sz w:val="22"/>
                <w:szCs w:val="22"/>
              </w:rPr>
              <w:t xml:space="preserve"> to 2019-2020 (9.7% and 8.5% respectively). </w:t>
            </w:r>
            <w:r w:rsidR="009D456C">
              <w:rPr>
                <w:rFonts w:ascii="Helvetica Neue" w:eastAsia="Avenir" w:hAnsi="Helvetica Neue" w:cs="Avenir"/>
                <w:sz w:val="22"/>
                <w:szCs w:val="22"/>
              </w:rPr>
              <w:t>F</w:t>
            </w:r>
            <w:r w:rsidR="009D456C">
              <w:rPr>
                <w:rFonts w:ascii="Helvetica Neue" w:eastAsia="Avenir" w:hAnsi="Helvetica Neue" w:cs="Avenir"/>
                <w:sz w:val="22"/>
                <w:szCs w:val="22"/>
              </w:rPr>
              <w:t>rom 2019-2020 to 2020-2021</w:t>
            </w:r>
            <w:r w:rsidR="009D456C">
              <w:rPr>
                <w:rFonts w:ascii="Helvetica Neue" w:eastAsia="Avenir" w:hAnsi="Helvetica Neue" w:cs="Avenir"/>
                <w:sz w:val="22"/>
                <w:szCs w:val="22"/>
              </w:rPr>
              <w:t>, retention rates for men and women were slight (2.3% and 3.0% respectively.</w:t>
            </w:r>
            <w:r w:rsidR="009D456C">
              <w:rPr>
                <w:rFonts w:ascii="Helvetica Neue" w:eastAsia="Avenir" w:hAnsi="Helvetica Neue" w:cs="Avenir"/>
                <w:sz w:val="22"/>
                <w:szCs w:val="22"/>
              </w:rPr>
              <w:t xml:space="preserve"> </w:t>
            </w:r>
            <w:r w:rsidR="009D456C">
              <w:rPr>
                <w:rFonts w:ascii="Helvetica Neue" w:eastAsia="Avenir" w:hAnsi="Helvetica Neue" w:cs="Avenir"/>
                <w:sz w:val="22"/>
                <w:szCs w:val="22"/>
              </w:rPr>
              <w:t>However, there was a moderate</w:t>
            </w:r>
            <w:r w:rsidR="00E652A8">
              <w:rPr>
                <w:rFonts w:ascii="Helvetica Neue" w:eastAsia="Avenir" w:hAnsi="Helvetica Neue" w:cs="Avenir"/>
                <w:sz w:val="22"/>
                <w:szCs w:val="22"/>
              </w:rPr>
              <w:t xml:space="preserve"> decrease for students who identified as gender neutral at 6.4%.</w:t>
            </w:r>
          </w:p>
          <w:p w14:paraId="1F8EA221" w14:textId="3DEEA1DB" w:rsidR="00106885" w:rsidRDefault="00106885" w:rsidP="0005351F">
            <w:pPr>
              <w:rPr>
                <w:rFonts w:ascii="Helvetica Neue" w:eastAsia="Avenir" w:hAnsi="Helvetica Neue" w:cs="Avenir"/>
                <w:sz w:val="22"/>
                <w:szCs w:val="22"/>
              </w:rPr>
            </w:pPr>
          </w:p>
          <w:p w14:paraId="06C42E8C" w14:textId="408E9850" w:rsidR="00106885" w:rsidRDefault="001401FF" w:rsidP="0005351F">
            <w:pPr>
              <w:rPr>
                <w:rFonts w:ascii="Helvetica Neue" w:eastAsia="Avenir" w:hAnsi="Helvetica Neue" w:cs="Avenir"/>
                <w:sz w:val="22"/>
                <w:szCs w:val="22"/>
              </w:rPr>
            </w:pPr>
            <w:r>
              <w:rPr>
                <w:rFonts w:ascii="Helvetica Neue" w:eastAsia="Avenir" w:hAnsi="Helvetica Neue" w:cs="Avenir"/>
                <w:sz w:val="22"/>
                <w:szCs w:val="22"/>
              </w:rPr>
              <w:t xml:space="preserve">The completion rate </w:t>
            </w:r>
            <w:r w:rsidR="009F435C">
              <w:rPr>
                <w:rFonts w:ascii="Helvetica Neue" w:eastAsia="Avenir" w:hAnsi="Helvetica Neue" w:cs="Avenir"/>
                <w:sz w:val="22"/>
                <w:szCs w:val="22"/>
              </w:rPr>
              <w:t>among SAS students when differentiated by age showed the greatest increases from 2018-2019 to 2019-2020 for ages 19-24 (12.9%), 30-34 (12.8%) and 35-54 (10.4%). The most significant increases in completion rate from 2019-2020 to 2020-2021 were for students 16-18 (17.7%) and those 55-64 (15.9%).</w:t>
            </w:r>
            <w:r w:rsidR="003648A4">
              <w:rPr>
                <w:rFonts w:ascii="Helvetica Neue" w:eastAsia="Avenir" w:hAnsi="Helvetica Neue" w:cs="Avenir"/>
                <w:sz w:val="22"/>
                <w:szCs w:val="22"/>
              </w:rPr>
              <w:t xml:space="preserve"> There was a moderate decrease in completion rates for students 25-29 between these academic years (4.3%). F</w:t>
            </w:r>
            <w:r w:rsidR="003648A4">
              <w:rPr>
                <w:rFonts w:ascii="Helvetica Neue" w:eastAsia="Avenir" w:hAnsi="Helvetica Neue" w:cs="Avenir"/>
                <w:sz w:val="22"/>
                <w:szCs w:val="22"/>
              </w:rPr>
              <w:t>rom 2018-2019 to 2019-2020</w:t>
            </w:r>
            <w:r w:rsidR="003648A4">
              <w:rPr>
                <w:rFonts w:ascii="Helvetica Neue" w:eastAsia="Avenir" w:hAnsi="Helvetica Neue" w:cs="Avenir"/>
                <w:sz w:val="22"/>
                <w:szCs w:val="22"/>
              </w:rPr>
              <w:t>,</w:t>
            </w:r>
            <w:r w:rsidR="003648A4">
              <w:rPr>
                <w:rFonts w:ascii="Helvetica Neue" w:eastAsia="Avenir" w:hAnsi="Helvetica Neue" w:cs="Avenir"/>
                <w:sz w:val="22"/>
                <w:szCs w:val="22"/>
              </w:rPr>
              <w:t xml:space="preserve"> </w:t>
            </w:r>
            <w:r w:rsidR="003648A4">
              <w:rPr>
                <w:rFonts w:ascii="Helvetica Neue" w:eastAsia="Avenir" w:hAnsi="Helvetica Neue" w:cs="Avenir"/>
                <w:sz w:val="22"/>
                <w:szCs w:val="22"/>
              </w:rPr>
              <w:t xml:space="preserve">retention rates for SAS students increase among all age </w:t>
            </w:r>
            <w:r w:rsidR="000A0F3E">
              <w:rPr>
                <w:rFonts w:ascii="Helvetica Neue" w:eastAsia="Avenir" w:hAnsi="Helvetica Neue" w:cs="Avenir"/>
                <w:sz w:val="22"/>
                <w:szCs w:val="22"/>
              </w:rPr>
              <w:t>groups but</w:t>
            </w:r>
            <w:r w:rsidR="003648A4">
              <w:rPr>
                <w:rFonts w:ascii="Helvetica Neue" w:eastAsia="Avenir" w:hAnsi="Helvetica Neue" w:cs="Avenir"/>
                <w:sz w:val="22"/>
                <w:szCs w:val="22"/>
              </w:rPr>
              <w:t xml:space="preserve"> was particularly highest for those 55-64 years of age (10.4%). From 2019-2020 to 2020-2021, retention rates showed small to moderate increases for most age groups, except those between </w:t>
            </w:r>
            <w:r w:rsidR="00DD6611">
              <w:rPr>
                <w:rFonts w:ascii="Helvetica Neue" w:eastAsia="Avenir" w:hAnsi="Helvetica Neue" w:cs="Avenir"/>
                <w:sz w:val="22"/>
                <w:szCs w:val="22"/>
              </w:rPr>
              <w:t xml:space="preserve">30-54, which showed a very slight decline of 1.0% or less. Between these two academic years, retention rates </w:t>
            </w:r>
            <w:proofErr w:type="gramStart"/>
            <w:r w:rsidR="00DD6611">
              <w:rPr>
                <w:rFonts w:ascii="Helvetica Neue" w:eastAsia="Avenir" w:hAnsi="Helvetica Neue" w:cs="Avenir"/>
                <w:sz w:val="22"/>
                <w:szCs w:val="22"/>
              </w:rPr>
              <w:t>was</w:t>
            </w:r>
            <w:proofErr w:type="gramEnd"/>
            <w:r w:rsidR="00DD6611">
              <w:rPr>
                <w:rFonts w:ascii="Helvetica Neue" w:eastAsia="Avenir" w:hAnsi="Helvetica Neue" w:cs="Avenir"/>
                <w:sz w:val="22"/>
                <w:szCs w:val="22"/>
              </w:rPr>
              <w:t xml:space="preserve"> highest for students 16-18 years of age (6.8%).</w:t>
            </w:r>
          </w:p>
          <w:p w14:paraId="5F0856FA" w14:textId="5DFDA66A" w:rsidR="00DD6611" w:rsidRDefault="00DD6611" w:rsidP="0005351F">
            <w:pPr>
              <w:rPr>
                <w:rFonts w:ascii="Helvetica Neue" w:eastAsia="Avenir" w:hAnsi="Helvetica Neue" w:cs="Avenir"/>
                <w:sz w:val="22"/>
                <w:szCs w:val="22"/>
              </w:rPr>
            </w:pPr>
          </w:p>
          <w:p w14:paraId="66E60912" w14:textId="2E26B4F0" w:rsidR="00DD6611" w:rsidRPr="00613FE2" w:rsidRDefault="00277930" w:rsidP="0005351F">
            <w:pPr>
              <w:rPr>
                <w:rFonts w:ascii="Helvetica Neue" w:eastAsia="Avenir" w:hAnsi="Helvetica Neue" w:cs="Avenir"/>
                <w:sz w:val="22"/>
                <w:szCs w:val="22"/>
              </w:rPr>
            </w:pPr>
            <w:r>
              <w:rPr>
                <w:rFonts w:ascii="Helvetica Neue" w:eastAsia="Avenir" w:hAnsi="Helvetica Neue" w:cs="Avenir"/>
                <w:sz w:val="22"/>
                <w:szCs w:val="22"/>
              </w:rPr>
              <w:t>Pertaining to ethnicity, the completion rates for SAS students all increased from years 2018-2019 to 2019-2020 with the Asians and Whites showing the highest increases for completion (17.8% and 13.1% respectively). From 2019-2020 to 2020-2021, completion rates made the greatest increase for Latino students at 13.0%. While other ethnicity increases were moderate to slight between these academic years, there was</w:t>
            </w:r>
            <w:r w:rsidR="00051129">
              <w:rPr>
                <w:rFonts w:ascii="Helvetica Neue" w:eastAsia="Avenir" w:hAnsi="Helvetica Neue" w:cs="Avenir"/>
                <w:sz w:val="22"/>
                <w:szCs w:val="22"/>
              </w:rPr>
              <w:t xml:space="preserve"> a decrease of 8.0% for students who identified under two or more ethnic groups.</w:t>
            </w:r>
            <w:r w:rsidR="00570DE4">
              <w:rPr>
                <w:rFonts w:ascii="Helvetica Neue" w:eastAsia="Avenir" w:hAnsi="Helvetica Neue" w:cs="Avenir"/>
                <w:sz w:val="22"/>
                <w:szCs w:val="22"/>
              </w:rPr>
              <w:t xml:space="preserve"> Retention rates for different ethnic groups among SAS students showed the highest increases for Asians and those of Unknown or Not Reported (NR) categories (17.9% and 10.5%) from 2018-2019 to 2019-2020 academic years. All other ethnic groups showed moderate increases of retention during these years (7.2-8.2%). From 2019-2020 to 2020-2021 retention rates among SAS student ethnicities varied widely. While Latino students showed a 7.6% increase in retention during these periods, those in Unknown/NR and </w:t>
            </w:r>
            <w:r w:rsidR="00B50FBF">
              <w:rPr>
                <w:rFonts w:ascii="Helvetica Neue" w:eastAsia="Avenir" w:hAnsi="Helvetica Neue" w:cs="Avenir"/>
                <w:sz w:val="22"/>
                <w:szCs w:val="22"/>
              </w:rPr>
              <w:t>students who identified as being two or more ethnicities saw decreases in retention (8.0% and 9.6% respectively). There was a moderate increase in retention rates for White students during these years (4.3%).</w:t>
            </w:r>
          </w:p>
          <w:p w14:paraId="7E3C6841" w14:textId="4EA85217" w:rsidR="00106447" w:rsidRPr="00277930" w:rsidRDefault="00106447" w:rsidP="0005351F">
            <w:pPr>
              <w:rPr>
                <w:rFonts w:ascii="Helvetica Neue" w:eastAsia="Avenir" w:hAnsi="Helvetica Neue" w:cs="Avenir"/>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106B3718"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gains in your program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05B0E79C" w:rsidR="00106447" w:rsidRPr="002B07A3" w:rsidRDefault="00632554" w:rsidP="0005351F">
            <w:pPr>
              <w:rPr>
                <w:rFonts w:ascii="Helvetica Neue" w:eastAsia="Avenir" w:hAnsi="Helvetica Neue" w:cs="Avenir"/>
                <w:sz w:val="22"/>
                <w:szCs w:val="22"/>
              </w:rPr>
            </w:pPr>
            <w:r w:rsidRPr="002B07A3">
              <w:rPr>
                <w:rFonts w:ascii="Helvetica Neue" w:eastAsia="Avenir" w:hAnsi="Helvetica Neue" w:cs="Avenir"/>
                <w:sz w:val="22"/>
                <w:szCs w:val="22"/>
              </w:rPr>
              <w:t xml:space="preserve">Based on the analysis drawn from the BI Tool data, it appears that all ethnic groups and genders have increased retention and completion rates between the 2018-2019 and 2019-2020 academic years. All age groups also showed increases in retention rates during this period. </w:t>
            </w:r>
            <w:r w:rsidR="00625C50" w:rsidRPr="002B07A3">
              <w:rPr>
                <w:rFonts w:ascii="Helvetica Neue" w:eastAsia="Avenir" w:hAnsi="Helvetica Neue" w:cs="Avenir"/>
                <w:sz w:val="22"/>
                <w:szCs w:val="22"/>
              </w:rPr>
              <w:t xml:space="preserve">There appears to be more variation in completion and retention rates between the years 2019-2020 for all ethnic groups, with certain groups such as mixed race or unknown ethnicity students showing the greatest impact in completion and retention rates in more recent years. Overall, there were decreases in retention rates among </w:t>
            </w:r>
            <w:r w:rsidR="002B07A3" w:rsidRPr="002B07A3">
              <w:rPr>
                <w:rFonts w:ascii="Helvetica Neue" w:eastAsia="Avenir" w:hAnsi="Helvetica Neue" w:cs="Avenir"/>
                <w:sz w:val="22"/>
                <w:szCs w:val="22"/>
              </w:rPr>
              <w:t>most</w:t>
            </w:r>
            <w:r w:rsidR="00625C50" w:rsidRPr="002B07A3">
              <w:rPr>
                <w:rFonts w:ascii="Helvetica Neue" w:eastAsia="Avenir" w:hAnsi="Helvetica Neue" w:cs="Avenir"/>
                <w:sz w:val="22"/>
                <w:szCs w:val="22"/>
              </w:rPr>
              <w:t xml:space="preserve"> students when comparing their ethnicity, </w:t>
            </w:r>
            <w:proofErr w:type="gramStart"/>
            <w:r w:rsidR="00625C50" w:rsidRPr="002B07A3">
              <w:rPr>
                <w:rFonts w:ascii="Helvetica Neue" w:eastAsia="Avenir" w:hAnsi="Helvetica Neue" w:cs="Avenir"/>
                <w:sz w:val="22"/>
                <w:szCs w:val="22"/>
              </w:rPr>
              <w:t>gender</w:t>
            </w:r>
            <w:proofErr w:type="gramEnd"/>
            <w:r w:rsidR="00625C50" w:rsidRPr="002B07A3">
              <w:rPr>
                <w:rFonts w:ascii="Helvetica Neue" w:eastAsia="Avenir" w:hAnsi="Helvetica Neue" w:cs="Avenir"/>
                <w:sz w:val="22"/>
                <w:szCs w:val="22"/>
              </w:rPr>
              <w:t xml:space="preserve"> and age throughout this 3-year cycle. Based on this, </w:t>
            </w:r>
            <w:proofErr w:type="gramStart"/>
            <w:r w:rsidR="00625C50" w:rsidRPr="002B07A3">
              <w:rPr>
                <w:rFonts w:ascii="Helvetica Neue" w:eastAsia="Avenir" w:hAnsi="Helvetica Neue" w:cs="Avenir"/>
                <w:sz w:val="22"/>
                <w:szCs w:val="22"/>
              </w:rPr>
              <w:t xml:space="preserve">it would appear that </w:t>
            </w:r>
            <w:r w:rsidR="002B07A3" w:rsidRPr="002B07A3">
              <w:rPr>
                <w:rFonts w:ascii="Helvetica Neue" w:eastAsia="Avenir" w:hAnsi="Helvetica Neue" w:cs="Avenir"/>
                <w:sz w:val="22"/>
                <w:szCs w:val="22"/>
              </w:rPr>
              <w:t>mostly</w:t>
            </w:r>
            <w:proofErr w:type="gramEnd"/>
            <w:r w:rsidR="002B07A3" w:rsidRPr="002B07A3">
              <w:rPr>
                <w:rFonts w:ascii="Helvetica Neue" w:eastAsia="Avenir" w:hAnsi="Helvetica Neue" w:cs="Avenir"/>
                <w:sz w:val="22"/>
                <w:szCs w:val="22"/>
              </w:rPr>
              <w:t xml:space="preserve"> all</w:t>
            </w:r>
            <w:r w:rsidR="00625C50" w:rsidRPr="002B07A3">
              <w:rPr>
                <w:rFonts w:ascii="Helvetica Neue" w:eastAsia="Avenir" w:hAnsi="Helvetica Neue" w:cs="Avenir"/>
                <w:sz w:val="22"/>
                <w:szCs w:val="22"/>
              </w:rPr>
              <w:t xml:space="preserve"> students</w:t>
            </w:r>
            <w:r w:rsidR="002B07A3" w:rsidRPr="002B07A3">
              <w:rPr>
                <w:rFonts w:ascii="Helvetica Neue" w:eastAsia="Avenir" w:hAnsi="Helvetica Neue" w:cs="Avenir"/>
                <w:sz w:val="22"/>
                <w:szCs w:val="22"/>
              </w:rPr>
              <w:t xml:space="preserve"> require some type of additional support in their academics.</w:t>
            </w: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4852960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0EBB9A56" w:rsidR="00106447" w:rsidRPr="007E2D0B" w:rsidRDefault="007E2D0B" w:rsidP="0005351F">
            <w:pPr>
              <w:rPr>
                <w:rFonts w:ascii="Helvetica Neue" w:eastAsia="Avenir" w:hAnsi="Helvetica Neue" w:cs="Avenir"/>
                <w:sz w:val="22"/>
                <w:szCs w:val="22"/>
              </w:rPr>
            </w:pPr>
            <w:r>
              <w:rPr>
                <w:rFonts w:ascii="Helvetica Neue" w:eastAsia="Avenir" w:hAnsi="Helvetica Neue" w:cs="Avenir"/>
                <w:sz w:val="22"/>
                <w:szCs w:val="22"/>
              </w:rPr>
              <w:t>Overall completion and retention rates for SAS students were lower in 2018-2019 compared to the college’s average (about a 3-4% difference). In 2019-2020, SAS students showed almost the same completion and retention rates as the school’s average and during 2020-2021, SAS students showed a higher percentage of college completion and retention rates as compared to the campus average student (roughly 5%</w:t>
            </w:r>
            <w:r w:rsidR="00EF36FF">
              <w:rPr>
                <w:rFonts w:ascii="Helvetica Neue" w:eastAsia="Avenir" w:hAnsi="Helvetica Neue" w:cs="Avenir"/>
                <w:sz w:val="22"/>
                <w:szCs w:val="22"/>
              </w:rPr>
              <w:t>)</w:t>
            </w:r>
            <w:r>
              <w:rPr>
                <w:rFonts w:ascii="Helvetica Neue" w:eastAsia="Avenir" w:hAnsi="Helvetica Neue" w:cs="Avenir"/>
                <w:sz w:val="22"/>
                <w:szCs w:val="22"/>
              </w:rPr>
              <w:t>.</w:t>
            </w:r>
          </w:p>
          <w:p w14:paraId="188AED32" w14:textId="0276735C" w:rsidR="00106447" w:rsidRPr="00091285" w:rsidRDefault="00106447" w:rsidP="0005351F">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75F7EC61"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w:t>
            </w:r>
            <w:r w:rsidR="00F72A18">
              <w:rPr>
                <w:rFonts w:ascii="Helvetica Neue" w:eastAsia="Calibri" w:hAnsi="Helvetica Neue" w:cs="Calibri"/>
                <w:b/>
                <w:bCs/>
                <w:color w:val="000000" w:themeColor="text1"/>
                <w:sz w:val="22"/>
                <w:szCs w:val="22"/>
              </w:rPr>
              <w:t>outcomes</w:t>
            </w:r>
            <w:r w:rsidRPr="00091285">
              <w:rPr>
                <w:rFonts w:ascii="Helvetica Neue" w:eastAsia="Calibri" w:hAnsi="Helvetica Neue" w:cs="Calibri"/>
                <w:b/>
                <w:bCs/>
                <w:color w:val="000000" w:themeColor="text1"/>
                <w:sz w:val="22"/>
                <w:szCs w:val="22"/>
              </w:rPr>
              <w:t xml:space="preserve">?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6CB23B6D" w:rsidR="00106447" w:rsidRPr="007335EF" w:rsidRDefault="00C952C0"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Historically, we have seen students with disabilities succeed at lower rates than their non-disabled counterparts </w:t>
            </w:r>
            <w:proofErr w:type="gramStart"/>
            <w:r>
              <w:rPr>
                <w:rFonts w:ascii="Helvetica Neue" w:eastAsia="Calibri" w:hAnsi="Helvetica Neue" w:cs="Calibri"/>
                <w:color w:val="000000" w:themeColor="text1"/>
                <w:sz w:val="22"/>
                <w:szCs w:val="22"/>
              </w:rPr>
              <w:t>in regard to</w:t>
            </w:r>
            <w:proofErr w:type="gramEnd"/>
            <w:r>
              <w:rPr>
                <w:rFonts w:ascii="Helvetica Neue" w:eastAsia="Calibri" w:hAnsi="Helvetica Neue" w:cs="Calibri"/>
                <w:color w:val="000000" w:themeColor="text1"/>
                <w:sz w:val="22"/>
                <w:szCs w:val="22"/>
              </w:rPr>
              <w:t xml:space="preserve"> course completion and retention rates. Though SAS has dropped in enrollment districtwide through the pandemic, it is a wonder if the online learning situation has selected a certain type of SAS student who may be preserving through their studies?</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4A2844AF"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F72A18">
              <w:rPr>
                <w:rFonts w:ascii="Helvetica Neue" w:eastAsia="Calibri" w:hAnsi="Helvetica Neue" w:cs="Calibri"/>
                <w:b/>
                <w:bCs/>
                <w:color w:val="000000" w:themeColor="text1"/>
                <w:sz w:val="22"/>
                <w:szCs w:val="22"/>
              </w:rPr>
              <w:t xml:space="preserve">needs </w:t>
            </w:r>
            <w:r w:rsidRPr="007335EF">
              <w:rPr>
                <w:rFonts w:ascii="Helvetica Neue" w:eastAsia="Calibri" w:hAnsi="Helvetica Neue" w:cs="Calibri"/>
                <w:b/>
                <w:bCs/>
                <w:color w:val="000000" w:themeColor="text1"/>
                <w:sz w:val="22"/>
                <w:szCs w:val="22"/>
              </w:rPr>
              <w:t xml:space="preserve">have they expressed to complete and succeed </w:t>
            </w:r>
            <w:r w:rsidR="00F208D2">
              <w:rPr>
                <w:rFonts w:ascii="Helvetica Neue" w:eastAsia="Calibri" w:hAnsi="Helvetica Neue" w:cs="Calibri"/>
                <w:b/>
                <w:bCs/>
                <w:color w:val="000000" w:themeColor="text1"/>
                <w:sz w:val="22"/>
                <w:szCs w:val="22"/>
              </w:rPr>
              <w:t>in your program</w:t>
            </w:r>
            <w:r w:rsidRPr="007335EF">
              <w:rPr>
                <w:rFonts w:ascii="Helvetica Neue" w:eastAsia="Calibri" w:hAnsi="Helvetica Neue" w:cs="Calibri"/>
                <w:b/>
                <w:bCs/>
                <w:color w:val="000000" w:themeColor="text1"/>
                <w:sz w:val="22"/>
                <w:szCs w:val="22"/>
              </w:rPr>
              <w:t xml:space="preserve">? </w:t>
            </w:r>
            <w:r w:rsidR="00F208D2">
              <w:rPr>
                <w:rFonts w:ascii="Helvetica Neue" w:eastAsia="Calibri" w:hAnsi="Helvetica Neue" w:cs="Calibri"/>
                <w:b/>
                <w:bCs/>
                <w:color w:val="000000" w:themeColor="text1"/>
                <w:sz w:val="22"/>
                <w:szCs w:val="22"/>
              </w:rPr>
              <w:t xml:space="preserve">Please </w:t>
            </w:r>
            <w:r w:rsidR="00F72A18">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w:t>
            </w:r>
            <w:r w:rsidR="00F208D2">
              <w:rPr>
                <w:rFonts w:ascii="Helvetica Neue" w:eastAsia="Calibri" w:hAnsi="Helvetica Neue" w:cs="Calibri"/>
                <w:b/>
                <w:bCs/>
                <w:color w:val="000000" w:themeColor="text1"/>
                <w:sz w:val="22"/>
                <w:szCs w:val="22"/>
              </w:rPr>
              <w:t>.</w:t>
            </w:r>
            <w:r w:rsidRPr="007335EF">
              <w:rPr>
                <w:rFonts w:ascii="Helvetica Neue" w:eastAsia="Calibri" w:hAnsi="Helvetica Neue" w:cs="Calibri"/>
                <w:b/>
                <w:bCs/>
                <w:color w:val="000000" w:themeColor="text1"/>
                <w:sz w:val="22"/>
                <w:szCs w:val="22"/>
              </w:rPr>
              <w:t xml:space="preserve">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02C112D8" w:rsidR="00106447" w:rsidRPr="007335EF" w:rsidRDefault="00C952C0"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Our students have expressed need for more tutoring resources in writing and mathematics. They have also expressed a need for more academic </w:t>
            </w:r>
            <w:r w:rsidR="00944582">
              <w:rPr>
                <w:rFonts w:ascii="Helvetica Neue" w:eastAsia="Calibri" w:hAnsi="Helvetica Neue" w:cs="Calibri"/>
                <w:color w:val="000000" w:themeColor="text1"/>
                <w:sz w:val="22"/>
                <w:szCs w:val="22"/>
              </w:rPr>
              <w:t xml:space="preserve">coaching </w:t>
            </w:r>
            <w:r>
              <w:rPr>
                <w:rFonts w:ascii="Helvetica Neue" w:eastAsia="Calibri" w:hAnsi="Helvetica Neue" w:cs="Calibri"/>
                <w:color w:val="000000" w:themeColor="text1"/>
                <w:sz w:val="22"/>
                <w:szCs w:val="22"/>
              </w:rPr>
              <w:t xml:space="preserve">in recent years. </w:t>
            </w:r>
            <w:r w:rsidR="00944582">
              <w:rPr>
                <w:rFonts w:ascii="Helvetica Neue" w:eastAsia="Calibri" w:hAnsi="Helvetica Neue" w:cs="Calibri"/>
                <w:color w:val="000000" w:themeColor="text1"/>
                <w:sz w:val="22"/>
                <w:szCs w:val="22"/>
              </w:rPr>
              <w:t>For example, students on the Autism spectrum or who have ADD report difficulty in organizing and structuring work and turning in assignments. Educational assistant classes should be developed under SAS with instructors who can provide academic coaching to help the students organize homework and deadlines as well as goal setting behaviors. Most students also reported increased emotional anxiety this past year. Again, courses designed to address stress management for students with disabilities could reduce troubling emotions and increase well-being of the student. Lastly, though academic tutoring is provided by the college, there appears to be need for more tutoring in mathematics and other technical areas that the college may be limited in providing.</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3650A0E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77777777" w:rsidR="000D087A" w:rsidRPr="007335EF" w:rsidRDefault="000D087A" w:rsidP="000D087A">
            <w:pPr>
              <w:rPr>
                <w:rFonts w:ascii="Helvetica Neue" w:hAnsi="Helvetica Neue"/>
                <w:sz w:val="22"/>
                <w:szCs w:val="22"/>
              </w:rPr>
            </w:pP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1CBAA597" w:rsidR="000D087A" w:rsidRPr="007335EF" w:rsidRDefault="000D087A"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38C41CF8" w:rsidR="009979A6" w:rsidRPr="007335EF" w:rsidRDefault="00F52B10" w:rsidP="009979A6">
            <w:pPr>
              <w:rPr>
                <w:rFonts w:ascii="Helvetica Neue" w:hAnsi="Helvetica Neue"/>
                <w:sz w:val="22"/>
                <w:szCs w:val="22"/>
              </w:rPr>
            </w:pPr>
            <w:r>
              <w:rPr>
                <w:rFonts w:ascii="Helvetica Neue" w:hAnsi="Helvetica Neue"/>
                <w:sz w:val="22"/>
                <w:szCs w:val="22"/>
              </w:rPr>
              <w:t xml:space="preserve">Overall, SAS </w:t>
            </w:r>
            <w:r w:rsidR="005F00FD">
              <w:rPr>
                <w:rFonts w:ascii="Helvetica Neue" w:hAnsi="Helvetica Neue"/>
                <w:sz w:val="22"/>
                <w:szCs w:val="22"/>
              </w:rPr>
              <w:t xml:space="preserve">students were awarded 8.52% of all Certificate of Achievements (CA) in 2018-2019. There was an increase percentage of CA awards to 13.56% in 2019-2020 and a decrease of CA awards in 2020-2021 to 8.86%.  </w:t>
            </w:r>
            <w:r w:rsidR="00694280">
              <w:rPr>
                <w:rFonts w:ascii="Helvetica Neue" w:hAnsi="Helvetica Neue"/>
                <w:sz w:val="22"/>
                <w:szCs w:val="22"/>
              </w:rPr>
              <w:t xml:space="preserve">For CSU Breadth completion for transfer, SAS students increased their transfer awards from 2018-2019 by </w:t>
            </w:r>
            <w:proofErr w:type="gramStart"/>
            <w:r w:rsidR="00694280">
              <w:rPr>
                <w:rFonts w:ascii="Helvetica Neue" w:hAnsi="Helvetica Neue"/>
                <w:sz w:val="22"/>
                <w:szCs w:val="22"/>
              </w:rPr>
              <w:t>5.6%, but</w:t>
            </w:r>
            <w:proofErr w:type="gramEnd"/>
            <w:r w:rsidR="00694280">
              <w:rPr>
                <w:rFonts w:ascii="Helvetica Neue" w:hAnsi="Helvetica Neue"/>
                <w:sz w:val="22"/>
                <w:szCs w:val="22"/>
              </w:rPr>
              <w:t xml:space="preserve"> decreased awards from 2019-2020 to 2020-2021 by 5.5%. For IGETC completion for transfer, SAS students also increased awards from 2018-2019 to 2019-2020 by 4.8%. IGETC completions also declined for SAS students between 2019-2020 to 2020-2021 by 4.1%.</w:t>
            </w:r>
            <w:r w:rsidR="00AA70FB">
              <w:rPr>
                <w:rFonts w:ascii="Helvetica Neue" w:hAnsi="Helvetica Neue"/>
                <w:sz w:val="22"/>
                <w:szCs w:val="22"/>
              </w:rPr>
              <w:t xml:space="preserve"> Transfer awards appear at a higher ratio for women in the SAS program at about 2:1, compared to the 57% of female students more than male students (41%) at BCC who complete transfer requirements.</w:t>
            </w:r>
            <w:r w:rsidR="00B420F4">
              <w:rPr>
                <w:rFonts w:ascii="Helvetica Neue" w:hAnsi="Helvetica Neue"/>
                <w:sz w:val="22"/>
                <w:szCs w:val="22"/>
              </w:rPr>
              <w:t xml:space="preserve"> The only ethnic group to increase transfer awards during the two years of online learning was the Latino SAS students by 16.7% from 2019-20 to </w:t>
            </w:r>
            <w:r w:rsidR="00B420F4">
              <w:rPr>
                <w:rFonts w:ascii="Helvetica Neue" w:hAnsi="Helvetica Neue"/>
                <w:sz w:val="22"/>
                <w:szCs w:val="22"/>
              </w:rPr>
              <w:lastRenderedPageBreak/>
              <w:t>2020-2021. This was in the direct opposite trend for Latino students at BCC between these academic years.</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544CD58D" w14:textId="77777777" w:rsidR="00C5084A" w:rsidRDefault="00C5084A" w:rsidP="00C80621">
            <w:pPr>
              <w:rPr>
                <w:rFonts w:ascii="Helvetica Neue" w:hAnsi="Helvetica Neue"/>
                <w:sz w:val="22"/>
                <w:szCs w:val="22"/>
              </w:rPr>
            </w:pPr>
          </w:p>
          <w:p w14:paraId="28048D30" w14:textId="77777777" w:rsidR="009979A6" w:rsidRDefault="00C80621" w:rsidP="00C80621">
            <w:pPr>
              <w:rPr>
                <w:rFonts w:ascii="Helvetica Neue" w:hAnsi="Helvetica Neue"/>
                <w:sz w:val="22"/>
                <w:szCs w:val="22"/>
              </w:rPr>
            </w:pPr>
            <w:r>
              <w:rPr>
                <w:rFonts w:ascii="Helvetica Neue" w:hAnsi="Helvetica Neue"/>
                <w:sz w:val="22"/>
                <w:szCs w:val="22"/>
              </w:rPr>
              <w:t xml:space="preserve">Most students </w:t>
            </w:r>
            <w:r w:rsidR="00C5084A">
              <w:rPr>
                <w:rFonts w:ascii="Helvetica Neue" w:hAnsi="Helvetica Neue"/>
                <w:sz w:val="22"/>
                <w:szCs w:val="22"/>
              </w:rPr>
              <w:t xml:space="preserve">in different ethnic categories </w:t>
            </w:r>
            <w:r>
              <w:rPr>
                <w:rFonts w:ascii="Helvetica Neue" w:hAnsi="Helvetica Neue"/>
                <w:sz w:val="22"/>
                <w:szCs w:val="22"/>
              </w:rPr>
              <w:t>show</w:t>
            </w:r>
            <w:r w:rsidR="00C5084A">
              <w:rPr>
                <w:rFonts w:ascii="Helvetica Neue" w:hAnsi="Helvetica Neue"/>
                <w:sz w:val="22"/>
                <w:szCs w:val="22"/>
              </w:rPr>
              <w:t>ed</w:t>
            </w:r>
            <w:r>
              <w:rPr>
                <w:rFonts w:ascii="Helvetica Neue" w:hAnsi="Helvetica Neue"/>
                <w:sz w:val="22"/>
                <w:szCs w:val="22"/>
              </w:rPr>
              <w:t xml:space="preserve"> a decline in awarded certificate and transfer completions from 2019-2020 to 2020-2021</w:t>
            </w:r>
            <w:r w:rsidR="00C5084A">
              <w:rPr>
                <w:rFonts w:ascii="Helvetica Neue" w:hAnsi="Helvetica Neue"/>
                <w:sz w:val="22"/>
                <w:szCs w:val="22"/>
              </w:rPr>
              <w:t>, except for</w:t>
            </w:r>
            <w:r>
              <w:rPr>
                <w:rFonts w:ascii="Helvetica Neue" w:hAnsi="Helvetica Neue"/>
                <w:sz w:val="22"/>
                <w:szCs w:val="22"/>
              </w:rPr>
              <w:t xml:space="preserve"> </w:t>
            </w:r>
            <w:r w:rsidR="00D7352E">
              <w:rPr>
                <w:rFonts w:ascii="Helvetica Neue" w:hAnsi="Helvetica Neue"/>
                <w:sz w:val="22"/>
                <w:szCs w:val="22"/>
              </w:rPr>
              <w:t xml:space="preserve">Latino students </w:t>
            </w:r>
            <w:r w:rsidR="00C5084A">
              <w:rPr>
                <w:rFonts w:ascii="Helvetica Neue" w:hAnsi="Helvetica Neue"/>
                <w:sz w:val="22"/>
                <w:szCs w:val="22"/>
              </w:rPr>
              <w:t xml:space="preserve">who </w:t>
            </w:r>
            <w:r w:rsidR="00D7352E">
              <w:rPr>
                <w:rFonts w:ascii="Helvetica Neue" w:hAnsi="Helvetica Neue"/>
                <w:sz w:val="22"/>
                <w:szCs w:val="22"/>
              </w:rPr>
              <w:t>showed a gain in transfer awards during the same period.</w:t>
            </w:r>
          </w:p>
          <w:p w14:paraId="5FD27A79" w14:textId="5BBE20FE" w:rsidR="00C5084A" w:rsidRPr="007335EF" w:rsidRDefault="00C5084A" w:rsidP="00C80621">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8378CB9" w14:textId="77777777" w:rsidR="00C5084A" w:rsidRDefault="00C5084A" w:rsidP="009979A6">
            <w:pPr>
              <w:rPr>
                <w:rFonts w:ascii="Helvetica Neue" w:hAnsi="Helvetica Neue"/>
                <w:sz w:val="22"/>
                <w:szCs w:val="22"/>
              </w:rPr>
            </w:pPr>
          </w:p>
          <w:p w14:paraId="3CEFEF5A" w14:textId="77777777" w:rsidR="009979A6" w:rsidRDefault="00C80621" w:rsidP="009979A6">
            <w:pPr>
              <w:rPr>
                <w:rFonts w:ascii="Helvetica Neue" w:hAnsi="Helvetica Neue"/>
                <w:sz w:val="22"/>
                <w:szCs w:val="22"/>
              </w:rPr>
            </w:pPr>
            <w:r>
              <w:rPr>
                <w:rFonts w:ascii="Helvetica Neue" w:hAnsi="Helvetica Neue"/>
                <w:sz w:val="22"/>
                <w:szCs w:val="22"/>
              </w:rPr>
              <w:t>Latino students using SAS services showed the greatest increase rates for completing tran</w:t>
            </w:r>
            <w:r>
              <w:rPr>
                <w:rFonts w:ascii="Helvetica Neue" w:hAnsi="Helvetica Neue"/>
                <w:sz w:val="22"/>
                <w:szCs w:val="22"/>
              </w:rPr>
              <w:t>s</w:t>
            </w:r>
            <w:r>
              <w:rPr>
                <w:rFonts w:ascii="Helvetica Neue" w:hAnsi="Helvetica Neue"/>
                <w:sz w:val="22"/>
                <w:szCs w:val="22"/>
              </w:rPr>
              <w:t xml:space="preserve">fer requirements </w:t>
            </w:r>
            <w:r w:rsidR="00D7352E">
              <w:rPr>
                <w:rFonts w:ascii="Helvetica Neue" w:hAnsi="Helvetica Neue"/>
                <w:sz w:val="22"/>
                <w:szCs w:val="22"/>
              </w:rPr>
              <w:t>which was in direct contrast with</w:t>
            </w:r>
            <w:r>
              <w:rPr>
                <w:rFonts w:ascii="Helvetica Neue" w:hAnsi="Helvetica Neue"/>
                <w:sz w:val="22"/>
                <w:szCs w:val="22"/>
              </w:rPr>
              <w:t xml:space="preserve"> BCC students overall. </w:t>
            </w:r>
          </w:p>
          <w:p w14:paraId="53F83F71" w14:textId="2936F8B5" w:rsidR="00C5084A" w:rsidRPr="007335EF" w:rsidRDefault="00C5084A" w:rsidP="009979A6">
            <w:pPr>
              <w:rPr>
                <w:rFonts w:ascii="Helvetica Neue" w:hAnsi="Helvetica Neue"/>
                <w:sz w:val="22"/>
                <w:szCs w:val="22"/>
              </w:rPr>
            </w:pPr>
          </w:p>
        </w:tc>
      </w:tr>
      <w:tr w:rsidR="009979A6" w14:paraId="3A76110D" w14:textId="77777777" w:rsidTr="009979A6">
        <w:tc>
          <w:tcPr>
            <w:tcW w:w="9926" w:type="dxa"/>
            <w:gridSpan w:val="3"/>
          </w:tcPr>
          <w:p w14:paraId="171FCFDD" w14:textId="15BC3D66"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7C3EB1">
              <w:rPr>
                <w:rFonts w:ascii="Helvetica Neue" w:eastAsia="Calibri" w:hAnsi="Helvetica Neue" w:cs="Calibri"/>
                <w:b/>
                <w:bCs/>
                <w:color w:val="000000" w:themeColor="text1"/>
                <w:sz w:val="22"/>
                <w:szCs w:val="22"/>
              </w:rPr>
              <w:t>do</w:t>
            </w:r>
            <w:r w:rsidRPr="007335EF">
              <w:rPr>
                <w:rFonts w:ascii="Helvetica Neue" w:eastAsia="Calibri" w:hAnsi="Helvetica Neue" w:cs="Calibri"/>
                <w:b/>
                <w:bCs/>
                <w:color w:val="000000" w:themeColor="text1"/>
                <w:sz w:val="22"/>
                <w:szCs w:val="22"/>
              </w:rPr>
              <w:t xml:space="preserve"> they need to complete their degrees and/or certificates? (</w:t>
            </w:r>
            <w:r w:rsidR="00D3188E">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 </w:t>
            </w:r>
          </w:p>
        </w:tc>
      </w:tr>
      <w:tr w:rsidR="009979A6" w14:paraId="5FBCC277" w14:textId="77777777" w:rsidTr="00821912">
        <w:tc>
          <w:tcPr>
            <w:tcW w:w="9926" w:type="dxa"/>
            <w:gridSpan w:val="3"/>
            <w:shd w:val="clear" w:color="auto" w:fill="FFF2CC" w:themeFill="accent4" w:themeFillTint="33"/>
          </w:tcPr>
          <w:p w14:paraId="390FAB9A" w14:textId="77777777" w:rsidR="00C5084A" w:rsidRDefault="00C5084A" w:rsidP="009979A6">
            <w:pPr>
              <w:rPr>
                <w:rFonts w:ascii="Helvetica Neue" w:eastAsia="Calibri" w:hAnsi="Helvetica Neue" w:cs="Calibri"/>
                <w:color w:val="000000" w:themeColor="text1"/>
                <w:sz w:val="22"/>
                <w:szCs w:val="22"/>
              </w:rPr>
            </w:pPr>
          </w:p>
          <w:p w14:paraId="4BFFAC75" w14:textId="661E7231" w:rsidR="009979A6" w:rsidRDefault="00EF51AB" w:rsidP="009979A6">
            <w:pPr>
              <w:rPr>
                <w:rFonts w:ascii="Helvetica Neue" w:hAnsi="Helvetica Neue"/>
                <w:sz w:val="22"/>
                <w:szCs w:val="22"/>
              </w:rPr>
            </w:pPr>
            <w:r>
              <w:rPr>
                <w:rFonts w:ascii="Helvetica Neue" w:eastAsia="Calibri" w:hAnsi="Helvetica Neue" w:cs="Calibri"/>
                <w:color w:val="000000" w:themeColor="text1"/>
                <w:sz w:val="22"/>
                <w:szCs w:val="22"/>
              </w:rPr>
              <w:t>Students need increased academic advising to develop Student Educational Plans (SEP). For this, we will need to increase SAS counseling hours to ensure that all students have an updated or new SEP.</w:t>
            </w:r>
            <w:r w:rsidR="00C45606">
              <w:rPr>
                <w:rFonts w:ascii="Helvetica Neue" w:eastAsia="Calibri" w:hAnsi="Helvetica Neue" w:cs="Calibri"/>
                <w:color w:val="000000" w:themeColor="text1"/>
                <w:sz w:val="22"/>
                <w:szCs w:val="22"/>
              </w:rPr>
              <w:t xml:space="preserve"> </w:t>
            </w:r>
            <w:r w:rsidR="00C45606">
              <w:rPr>
                <w:rFonts w:ascii="Helvetica Neue" w:hAnsi="Helvetica Neue"/>
                <w:sz w:val="22"/>
                <w:szCs w:val="22"/>
              </w:rPr>
              <w:t>This will require increased funding for SAS counseling services.</w:t>
            </w:r>
          </w:p>
          <w:p w14:paraId="7D55CD95" w14:textId="18353359" w:rsidR="00C45606" w:rsidRPr="00C45606" w:rsidRDefault="00C45606" w:rsidP="009979A6">
            <w:pPr>
              <w:rPr>
                <w:rFonts w:ascii="Helvetica Neue" w:hAnsi="Helvetica Neue"/>
                <w:sz w:val="22"/>
                <w:szCs w:val="22"/>
              </w:rPr>
            </w:pPr>
          </w:p>
        </w:tc>
      </w:tr>
      <w:tr w:rsidR="009979A6" w14:paraId="6CAA0CA3" w14:textId="77777777" w:rsidTr="009979A6">
        <w:tc>
          <w:tcPr>
            <w:tcW w:w="9926" w:type="dxa"/>
            <w:gridSpan w:val="3"/>
          </w:tcPr>
          <w:p w14:paraId="4A384B35" w14:textId="194A98BC"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5B63E65F" w14:textId="77777777" w:rsidR="000D087A" w:rsidRDefault="000D087A" w:rsidP="009979A6">
            <w:pPr>
              <w:rPr>
                <w:rFonts w:ascii="Helvetica Neue" w:eastAsia="Calibri" w:hAnsi="Helvetica Neue" w:cs="Calibri"/>
                <w:color w:val="000000" w:themeColor="text1"/>
                <w:sz w:val="22"/>
                <w:szCs w:val="22"/>
              </w:rPr>
            </w:pPr>
          </w:p>
          <w:p w14:paraId="5BE50E1D" w14:textId="77777777" w:rsidR="001357DF" w:rsidRDefault="001357DF"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Need to increase outreach and Student Educational Plan development to ensure student academic goals are obtained.</w:t>
            </w:r>
          </w:p>
          <w:p w14:paraId="06954AFC" w14:textId="42233640" w:rsidR="001357DF" w:rsidRPr="007335EF" w:rsidRDefault="001357DF"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A61AA0C" w14:textId="77777777" w:rsidR="000D087A" w:rsidRPr="007335EF" w:rsidRDefault="000D087A" w:rsidP="009979A6">
            <w:pPr>
              <w:rPr>
                <w:rFonts w:ascii="Helvetica Neue" w:eastAsia="Calibri" w:hAnsi="Helvetica Neue" w:cs="Calibri"/>
                <w:color w:val="000000" w:themeColor="text1"/>
                <w:sz w:val="22"/>
                <w:szCs w:val="22"/>
              </w:rPr>
            </w:pPr>
          </w:p>
          <w:p w14:paraId="6E856C69" w14:textId="77777777" w:rsidR="001357DF" w:rsidRDefault="001357DF" w:rsidP="001357DF">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Need to increase outreach and Student Educational Plan development to ensure student academic goals are obtained.</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3F45769B" w14:textId="77777777" w:rsidR="001357DF" w:rsidRDefault="001357DF" w:rsidP="009979A6">
            <w:pPr>
              <w:rPr>
                <w:rFonts w:ascii="Helvetica Neue" w:eastAsia="Calibri" w:hAnsi="Helvetica Neue" w:cs="Calibri"/>
                <w:color w:val="000000" w:themeColor="text1"/>
                <w:sz w:val="22"/>
                <w:szCs w:val="22"/>
              </w:rPr>
            </w:pPr>
          </w:p>
          <w:p w14:paraId="55B86165" w14:textId="0EF3EFDC" w:rsidR="000D087A" w:rsidRPr="007335EF" w:rsidRDefault="001357DF"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Need to increase outreach and Student Educational Plan development to ensure student academic goals are obtained.</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2B53E666"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117B2370" w:rsidR="007E1142" w:rsidRPr="00F4718F" w:rsidRDefault="00EF51AB" w:rsidP="00EE3904">
            <w:pPr>
              <w:rPr>
                <w:rFonts w:ascii="Helvetica Neue" w:hAnsi="Helvetica Neue"/>
                <w:color w:val="0563C1"/>
                <w:sz w:val="22"/>
                <w:szCs w:val="22"/>
                <w:u w:val="single"/>
              </w:rPr>
            </w:pPr>
            <w:r>
              <w:rPr>
                <w:rFonts w:ascii="Helvetica Neue" w:eastAsia="Calibri" w:hAnsi="Helvetica Neue" w:cs="Calibri"/>
                <w:color w:val="000000" w:themeColor="text1"/>
                <w:sz w:val="22"/>
                <w:szCs w:val="22"/>
              </w:rPr>
              <w:t>Students need increased academic advising to develop Student Educational Plans</w:t>
            </w:r>
            <w:r>
              <w:rPr>
                <w:rFonts w:ascii="Helvetica Neue" w:eastAsia="Calibri" w:hAnsi="Helvetica Neue" w:cs="Calibri"/>
                <w:color w:val="000000" w:themeColor="text1"/>
                <w:sz w:val="22"/>
                <w:szCs w:val="22"/>
              </w:rPr>
              <w:t xml:space="preserve"> (SEP)</w:t>
            </w:r>
            <w:r>
              <w:rPr>
                <w:rFonts w:ascii="Helvetica Neue" w:eastAsia="Calibri" w:hAnsi="Helvetica Neue" w:cs="Calibri"/>
                <w:color w:val="000000" w:themeColor="text1"/>
                <w:sz w:val="22"/>
                <w:szCs w:val="22"/>
              </w:rPr>
              <w:t>.</w:t>
            </w:r>
            <w:r>
              <w:rPr>
                <w:rFonts w:ascii="Helvetica Neue" w:eastAsia="Calibri" w:hAnsi="Helvetica Neue" w:cs="Calibri"/>
                <w:color w:val="000000" w:themeColor="text1"/>
                <w:sz w:val="22"/>
                <w:szCs w:val="22"/>
              </w:rPr>
              <w:t xml:space="preserve"> For this, we will need to increase SAS counseling hours to ensure that all students have an updated or new SEP.</w:t>
            </w:r>
          </w:p>
        </w:tc>
      </w:tr>
    </w:tbl>
    <w:p w14:paraId="57B9C113" w14:textId="0150A3C7" w:rsidR="00EE3904" w:rsidRPr="008075D2" w:rsidRDefault="00EE3904" w:rsidP="008075D2">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30BBCB6E" w:rsidR="00EE3904" w:rsidRPr="007335EF" w:rsidRDefault="00D3188E" w:rsidP="0005351F">
            <w:pPr>
              <w:rPr>
                <w:rFonts w:ascii="Helvetica Neue" w:hAnsi="Helvetica Neue"/>
                <w:sz w:val="22"/>
                <w:szCs w:val="22"/>
              </w:rPr>
            </w:pPr>
            <w:r>
              <w:rPr>
                <w:rFonts w:ascii="Helvetica Neue" w:hAnsi="Helvetica Neue"/>
                <w:sz w:val="22"/>
                <w:szCs w:val="22"/>
              </w:rPr>
              <w:lastRenderedPageBreak/>
              <w:t>Program</w:t>
            </w:r>
            <w:r w:rsidR="00EE3904" w:rsidRPr="007335EF">
              <w:rPr>
                <w:rFonts w:ascii="Helvetica Neue" w:hAnsi="Helvetica Neue"/>
                <w:sz w:val="22"/>
                <w:szCs w:val="22"/>
              </w:rPr>
              <w:t>/Discipline:</w:t>
            </w:r>
          </w:p>
        </w:tc>
        <w:tc>
          <w:tcPr>
            <w:tcW w:w="6704" w:type="dxa"/>
            <w:shd w:val="clear" w:color="auto" w:fill="FFF2CC" w:themeFill="accent4" w:themeFillTint="33"/>
          </w:tcPr>
          <w:p w14:paraId="055840DA" w14:textId="77777777" w:rsidR="00EE3904" w:rsidRPr="007335EF" w:rsidRDefault="00EE3904" w:rsidP="0005351F">
            <w:pPr>
              <w:rPr>
                <w:rFonts w:ascii="Helvetica Neue" w:hAnsi="Helvetica Neue"/>
                <w:sz w:val="22"/>
                <w:szCs w:val="22"/>
                <w:highlight w:val="yellow"/>
              </w:rPr>
            </w:pP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77777777" w:rsidR="00EE3904" w:rsidRPr="007335EF" w:rsidRDefault="00EE3904" w:rsidP="0005351F">
            <w:pPr>
              <w:rPr>
                <w:rFonts w:ascii="Helvetica Neue" w:hAnsi="Helvetica Neue"/>
                <w:sz w:val="22"/>
                <w:szCs w:val="22"/>
                <w:highlight w:val="yellow"/>
              </w:rPr>
            </w:pP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77777777" w:rsidR="00EE3904" w:rsidRPr="007335EF" w:rsidRDefault="00EE3904" w:rsidP="0005351F">
            <w:pPr>
              <w:rPr>
                <w:rFonts w:ascii="Helvetica Neue" w:hAnsi="Helvetica Neue"/>
                <w:sz w:val="22"/>
                <w:szCs w:val="22"/>
                <w:highlight w:val="yellow"/>
              </w:rPr>
            </w:pP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77777777" w:rsidR="00EE3904" w:rsidRPr="007335EF" w:rsidRDefault="00EE3904" w:rsidP="0005351F">
            <w:pPr>
              <w:rPr>
                <w:rFonts w:ascii="Helvetica Neue" w:hAnsi="Helvetica Neue"/>
                <w:sz w:val="22"/>
                <w:szCs w:val="22"/>
                <w:highlight w:val="yellow"/>
              </w:rPr>
            </w:pP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77777777" w:rsidR="00EE3904" w:rsidRPr="007335EF" w:rsidRDefault="00EE3904" w:rsidP="0005351F">
            <w:pPr>
              <w:rPr>
                <w:rFonts w:ascii="Helvetica Neue" w:hAnsi="Helvetica Neue"/>
                <w:sz w:val="22"/>
                <w:szCs w:val="22"/>
                <w:highlight w:val="yellow"/>
              </w:rPr>
            </w:pP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62A3F0C8"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14:paraId="3B7B366C" w14:textId="77777777" w:rsidTr="00821912">
        <w:tc>
          <w:tcPr>
            <w:tcW w:w="9926" w:type="dxa"/>
            <w:gridSpan w:val="3"/>
            <w:shd w:val="clear" w:color="auto" w:fill="FFF2CC" w:themeFill="accent4" w:themeFillTint="33"/>
          </w:tcPr>
          <w:p w14:paraId="64C1813E" w14:textId="77777777" w:rsidR="00F4718F" w:rsidRPr="00F4718F" w:rsidRDefault="00F4718F" w:rsidP="00EE3904">
            <w:pPr>
              <w:rPr>
                <w:rFonts w:ascii="Helvetica Neue" w:hAnsi="Helvetica Neue"/>
                <w:sz w:val="22"/>
                <w:szCs w:val="22"/>
              </w:rPr>
            </w:pP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137776E2"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77777777" w:rsidR="00F4718F" w:rsidRPr="00F4718F" w:rsidRDefault="00F4718F" w:rsidP="00EE3904">
            <w:pPr>
              <w:rPr>
                <w:rFonts w:ascii="Helvetica Neue" w:hAnsi="Helvetica Neue"/>
                <w:sz w:val="22"/>
                <w:szCs w:val="22"/>
              </w:rPr>
            </w:pP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7B661A8A"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0FBFABED" w14:textId="77777777" w:rsidR="00F4718F" w:rsidRPr="00F4718F" w:rsidRDefault="00F4718F" w:rsidP="00EE3904">
            <w:pPr>
              <w:rPr>
                <w:rFonts w:ascii="Helvetica Neue" w:hAnsi="Helvetica Neue"/>
                <w:sz w:val="22"/>
                <w:szCs w:val="22"/>
              </w:rPr>
            </w:pP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4E8E3FFF" w14:textId="77777777"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59B80E2F" w14:textId="54E150D5" w:rsidR="00F4718F" w:rsidRPr="00F4718F" w:rsidRDefault="00F4718F" w:rsidP="00EE3904">
            <w:pPr>
              <w:rPr>
                <w:rFonts w:ascii="Helvetica Neue" w:hAnsi="Helvetica Neue"/>
                <w:sz w:val="22"/>
                <w:szCs w:val="22"/>
              </w:rPr>
            </w:pPr>
          </w:p>
        </w:tc>
      </w:tr>
      <w:tr w:rsidR="00F4718F" w14:paraId="50D909C1" w14:textId="77777777" w:rsidTr="00F4718F">
        <w:tc>
          <w:tcPr>
            <w:tcW w:w="9926" w:type="dxa"/>
            <w:gridSpan w:val="3"/>
          </w:tcPr>
          <w:p w14:paraId="327F186E" w14:textId="4D73FDEB"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sidR="00D3188E">
              <w:rPr>
                <w:rFonts w:ascii="Helvetica Neue" w:hAnsi="Helvetica Neue" w:cs="Segoe UI"/>
                <w:b/>
                <w:bCs/>
                <w:color w:val="000000" w:themeColor="text1"/>
              </w:rPr>
              <w:t xml:space="preserve"> </w:t>
            </w:r>
            <w:r w:rsidR="00D3188E" w:rsidRPr="00F4718F">
              <w:rPr>
                <w:rFonts w:ascii="Helvetica Neue" w:hAnsi="Helvetica Neue" w:cs="Segoe UI"/>
                <w:b/>
                <w:bCs/>
                <w:color w:val="000000" w:themeColor="text1"/>
              </w:rPr>
              <w:t xml:space="preserve">of your </w:t>
            </w:r>
            <w:r w:rsidR="00D3188E">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F4718F" w14:paraId="4710BDA8" w14:textId="77777777" w:rsidTr="00821912">
        <w:tc>
          <w:tcPr>
            <w:tcW w:w="9926" w:type="dxa"/>
            <w:gridSpan w:val="3"/>
            <w:shd w:val="clear" w:color="auto" w:fill="FFF2CC" w:themeFill="accent4" w:themeFillTint="33"/>
          </w:tcPr>
          <w:p w14:paraId="60BF335B" w14:textId="77777777" w:rsidR="00F4718F" w:rsidRP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00F4718F">
        <w:tc>
          <w:tcPr>
            <w:tcW w:w="9926" w:type="dxa"/>
            <w:gridSpan w:val="3"/>
          </w:tcPr>
          <w:p w14:paraId="45342AD8" w14:textId="77B37362"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(if applicable), such as State and Federal laws, 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008075D2" w:rsidRPr="00262FF3">
              <w:rPr>
                <w:rFonts w:ascii="Helvetica Neue" w:hAnsi="Helvetica Neue" w:cs="Segoe UI"/>
                <w:b/>
                <w:bCs/>
              </w:rPr>
              <w:t xml:space="preserve">(e.g., partnered with dual enrollment and contract Ed programs at K-12 </w:t>
            </w:r>
            <w:r w:rsidR="008075D2" w:rsidRPr="00262FF3">
              <w:rPr>
                <w:rFonts w:ascii="Helvetica Neue" w:hAnsi="Helvetica Neue" w:cs="Segoe UI"/>
                <w:b/>
                <w:bCs/>
              </w:rPr>
              <w:lastRenderedPageBreak/>
              <w:t xml:space="preserve">districts and high schools; support staff at high schools have access to Canvas to follow along and support students; allow tutors into the classes; </w:t>
            </w:r>
            <w:r w:rsidR="008075D2">
              <w:rPr>
                <w:rFonts w:ascii="Helvetica Neue" w:hAnsi="Helvetica Neue" w:cs="Segoe UI"/>
                <w:b/>
                <w:bCs/>
              </w:rPr>
              <w:t>G</w:t>
            </w:r>
            <w:r w:rsidR="008075D2" w:rsidRPr="00262FF3">
              <w:rPr>
                <w:rFonts w:ascii="Helvetica Neue" w:hAnsi="Helvetica Neue" w:cs="Segoe UI"/>
                <w:b/>
                <w:bCs/>
              </w:rPr>
              <w:t xml:space="preserve">uided </w:t>
            </w:r>
            <w:r w:rsidR="008075D2">
              <w:rPr>
                <w:rFonts w:ascii="Helvetica Neue" w:hAnsi="Helvetica Neue" w:cs="Segoe UI"/>
                <w:b/>
                <w:bCs/>
              </w:rPr>
              <w:t>P</w:t>
            </w:r>
            <w:r w:rsidR="008075D2" w:rsidRPr="00262FF3">
              <w:rPr>
                <w:rFonts w:ascii="Helvetica Neue" w:hAnsi="Helvetica Neue" w:cs="Segoe UI"/>
                <w:b/>
                <w:bCs/>
              </w:rPr>
              <w:t>athways</w:t>
            </w:r>
            <w:r w:rsidR="008075D2">
              <w:rPr>
                <w:rFonts w:ascii="Helvetica Neue" w:hAnsi="Helvetica Neue" w:cs="Segoe UI"/>
                <w:b/>
                <w:bCs/>
              </w:rPr>
              <w:t>, AB 705, etc.</w:t>
            </w:r>
            <w:r w:rsidR="008075D2"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39347C3D" w14:textId="77777777" w:rsidR="00F4718F" w:rsidRDefault="00F4718F" w:rsidP="00EE3904">
            <w:pPr>
              <w:rPr>
                <w:rFonts w:ascii="Helvetica Neue" w:hAnsi="Helvetica Neue"/>
              </w:rPr>
            </w:pPr>
          </w:p>
          <w:p w14:paraId="65DDF16A" w14:textId="327E7AA9" w:rsidR="00F4718F" w:rsidRDefault="00F4718F" w:rsidP="00EE3904">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00D0BF43" w:rsidR="009C2B01" w:rsidRPr="00EC7286" w:rsidRDefault="00635DC3" w:rsidP="00E454D4">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w:t>
            </w:r>
            <w:proofErr w:type="gramStart"/>
            <w:r w:rsidRPr="008731CA">
              <w:rPr>
                <w:rFonts w:ascii="Helvetica Neue" w:hAnsi="Helvetica Neue"/>
                <w:i/>
                <w:iCs/>
                <w:color w:val="000000" w:themeColor="text1"/>
                <w:sz w:val="23"/>
                <w:szCs w:val="23"/>
              </w:rPr>
              <w:t>course</w:t>
            </w:r>
            <w:proofErr w:type="gramEnd"/>
            <w:r w:rsidRPr="008731CA">
              <w:rPr>
                <w:rFonts w:ascii="Helvetica Neue" w:hAnsi="Helvetica Neue"/>
                <w:i/>
                <w:iCs/>
                <w:color w:val="000000" w:themeColor="text1"/>
                <w:sz w:val="23"/>
                <w:szCs w:val="23"/>
              </w:rPr>
              <w:t xml:space="preserv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6250E3AC"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43B2C14"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 outcomes?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021B5EBD"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CB20B13"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5A7E9A1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lastRenderedPageBreak/>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here are the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77777777" w:rsidR="00266533" w:rsidRDefault="00266533" w:rsidP="006B1C11">
            <w:pPr>
              <w:rPr>
                <w:rFonts w:ascii="Helvetica Neue" w:hAnsi="Helvetica Neue" w:cs="Segoe UI"/>
                <w:b/>
                <w:bCs/>
                <w:color w:val="000000" w:themeColor="text1"/>
                <w:sz w:val="22"/>
                <w:szCs w:val="22"/>
              </w:rPr>
            </w:pP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19F8C9A6"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4746FE4E"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14:paraId="5EF45BB7" w14:textId="77777777" w:rsidTr="00821912">
        <w:tc>
          <w:tcPr>
            <w:tcW w:w="9926" w:type="dxa"/>
            <w:shd w:val="clear" w:color="auto" w:fill="FFF2CC" w:themeFill="accent4" w:themeFillTint="33"/>
          </w:tcPr>
          <w:p w14:paraId="1236F165" w14:textId="660C16B0" w:rsidR="006F23C4" w:rsidRDefault="00EF51AB">
            <w:pPr>
              <w:spacing w:after="160" w:line="259" w:lineRule="auto"/>
              <w:rPr>
                <w:rFonts w:ascii="Helvetica Neue" w:hAnsi="Helvetica Neue"/>
                <w:sz w:val="22"/>
                <w:szCs w:val="22"/>
              </w:rPr>
            </w:pPr>
            <w:r>
              <w:rPr>
                <w:rFonts w:ascii="Helvetica Neue" w:hAnsi="Helvetica Neue"/>
                <w:sz w:val="22"/>
                <w:szCs w:val="22"/>
              </w:rPr>
              <w:t>Elissa Jaw (Districtwide Distance Education Committee, Student Services Council, Behavioral Intervention Team, Department Chair presentations</w:t>
            </w:r>
            <w:r w:rsidR="009C10A0">
              <w:rPr>
                <w:rFonts w:ascii="Helvetica Neue" w:hAnsi="Helvetica Neue"/>
                <w:sz w:val="22"/>
                <w:szCs w:val="22"/>
              </w:rPr>
              <w:t xml:space="preserve">, </w:t>
            </w:r>
            <w:r w:rsidR="00375CB0">
              <w:rPr>
                <w:rFonts w:ascii="Helvetica Neue" w:hAnsi="Helvetica Neue"/>
                <w:sz w:val="22"/>
                <w:szCs w:val="22"/>
              </w:rPr>
              <w:t xml:space="preserve">BCC General Counseling meetings, </w:t>
            </w:r>
            <w:r w:rsidR="009C10A0">
              <w:rPr>
                <w:rFonts w:ascii="Helvetica Neue" w:hAnsi="Helvetica Neue"/>
                <w:sz w:val="22"/>
                <w:szCs w:val="22"/>
              </w:rPr>
              <w:t xml:space="preserve">SAS Departmental </w:t>
            </w:r>
            <w:r w:rsidR="00375CB0">
              <w:rPr>
                <w:rFonts w:ascii="Helvetica Neue" w:hAnsi="Helvetica Neue"/>
                <w:sz w:val="22"/>
                <w:szCs w:val="22"/>
              </w:rPr>
              <w:t>m</w:t>
            </w:r>
            <w:r w:rsidR="009C10A0">
              <w:rPr>
                <w:rFonts w:ascii="Helvetica Neue" w:hAnsi="Helvetica Neue"/>
                <w:sz w:val="22"/>
                <w:szCs w:val="22"/>
              </w:rPr>
              <w:t xml:space="preserve">eetings, SAS Coordinators </w:t>
            </w:r>
            <w:r w:rsidR="00375CB0">
              <w:rPr>
                <w:rFonts w:ascii="Helvetica Neue" w:hAnsi="Helvetica Neue"/>
                <w:sz w:val="22"/>
                <w:szCs w:val="22"/>
              </w:rPr>
              <w:t>m</w:t>
            </w:r>
            <w:r w:rsidR="009C10A0">
              <w:rPr>
                <w:rFonts w:ascii="Helvetica Neue" w:hAnsi="Helvetica Neue"/>
                <w:sz w:val="22"/>
                <w:szCs w:val="22"/>
              </w:rPr>
              <w:t>eetings</w:t>
            </w:r>
            <w:r>
              <w:rPr>
                <w:rFonts w:ascii="Helvetica Neue" w:hAnsi="Helvetica Neue"/>
                <w:sz w:val="22"/>
                <w:szCs w:val="22"/>
              </w:rPr>
              <w:t>)</w:t>
            </w:r>
          </w:p>
          <w:p w14:paraId="6BC0F9B8" w14:textId="470C4F71" w:rsidR="009C10A0" w:rsidRDefault="009C10A0">
            <w:pPr>
              <w:spacing w:after="160" w:line="259" w:lineRule="auto"/>
              <w:rPr>
                <w:rFonts w:ascii="Helvetica Neue" w:hAnsi="Helvetica Neue"/>
                <w:sz w:val="22"/>
                <w:szCs w:val="22"/>
              </w:rPr>
            </w:pPr>
            <w:r>
              <w:rPr>
                <w:rFonts w:ascii="Helvetica Neue" w:hAnsi="Helvetica Neue"/>
                <w:sz w:val="22"/>
                <w:szCs w:val="22"/>
              </w:rPr>
              <w:t>Roberto Gonzalez (</w:t>
            </w:r>
            <w:r w:rsidR="00056CBF">
              <w:rPr>
                <w:rFonts w:ascii="Helvetica Neue" w:hAnsi="Helvetica Neue"/>
                <w:sz w:val="22"/>
                <w:szCs w:val="22"/>
              </w:rPr>
              <w:t xml:space="preserve">BCC </w:t>
            </w:r>
            <w:r>
              <w:rPr>
                <w:rFonts w:ascii="Helvetica Neue" w:hAnsi="Helvetica Neue"/>
                <w:sz w:val="22"/>
                <w:szCs w:val="22"/>
              </w:rPr>
              <w:t xml:space="preserve">Classified Senate, BCC </w:t>
            </w:r>
            <w:r w:rsidR="00056CBF">
              <w:rPr>
                <w:rFonts w:ascii="Helvetica Neue" w:hAnsi="Helvetica Neue"/>
                <w:sz w:val="22"/>
                <w:szCs w:val="22"/>
              </w:rPr>
              <w:t xml:space="preserve">DE </w:t>
            </w:r>
            <w:r>
              <w:rPr>
                <w:rFonts w:ascii="Helvetica Neue" w:hAnsi="Helvetica Neue"/>
                <w:sz w:val="22"/>
                <w:szCs w:val="22"/>
              </w:rPr>
              <w:t xml:space="preserve">Committee, SAS Departmental </w:t>
            </w:r>
            <w:r w:rsidR="00375CB0">
              <w:rPr>
                <w:rFonts w:ascii="Helvetica Neue" w:hAnsi="Helvetica Neue"/>
                <w:sz w:val="22"/>
                <w:szCs w:val="22"/>
              </w:rPr>
              <w:t>m</w:t>
            </w:r>
            <w:r>
              <w:rPr>
                <w:rFonts w:ascii="Helvetica Neue" w:hAnsi="Helvetica Neue"/>
                <w:sz w:val="22"/>
                <w:szCs w:val="22"/>
              </w:rPr>
              <w:t>eetings, AIM Training)</w:t>
            </w:r>
          </w:p>
          <w:p w14:paraId="1FC8A6F8" w14:textId="19390EF1" w:rsidR="009C10A0" w:rsidRDefault="009C10A0">
            <w:pPr>
              <w:spacing w:after="160" w:line="259" w:lineRule="auto"/>
              <w:rPr>
                <w:rFonts w:ascii="Helvetica Neue" w:hAnsi="Helvetica Neue"/>
                <w:sz w:val="22"/>
                <w:szCs w:val="22"/>
              </w:rPr>
            </w:pPr>
            <w:r>
              <w:rPr>
                <w:rFonts w:ascii="Helvetica Neue" w:hAnsi="Helvetica Neue"/>
                <w:sz w:val="22"/>
                <w:szCs w:val="22"/>
              </w:rPr>
              <w:t>Dolores Harshaw (</w:t>
            </w:r>
            <w:r w:rsidR="00375CB0">
              <w:rPr>
                <w:rFonts w:ascii="Helvetica Neue" w:hAnsi="Helvetica Neue"/>
                <w:sz w:val="22"/>
                <w:szCs w:val="22"/>
              </w:rPr>
              <w:t>Student Services Council</w:t>
            </w:r>
            <w:r w:rsidR="00375CB0">
              <w:rPr>
                <w:rFonts w:ascii="Helvetica Neue" w:hAnsi="Helvetica Neue"/>
                <w:sz w:val="22"/>
                <w:szCs w:val="22"/>
              </w:rPr>
              <w:t xml:space="preserve">, </w:t>
            </w:r>
            <w:r w:rsidR="00271A16">
              <w:rPr>
                <w:rFonts w:ascii="Helvetica Neue" w:hAnsi="Helvetica Neue"/>
                <w:sz w:val="22"/>
                <w:szCs w:val="22"/>
              </w:rPr>
              <w:t>Student Equity</w:t>
            </w:r>
            <w:r w:rsidR="001357DF">
              <w:rPr>
                <w:rFonts w:ascii="Helvetica Neue" w:hAnsi="Helvetica Neue"/>
                <w:sz w:val="22"/>
                <w:szCs w:val="22"/>
              </w:rPr>
              <w:t xml:space="preserve"> &amp; Success</w:t>
            </w:r>
            <w:r w:rsidR="00271A16">
              <w:rPr>
                <w:rFonts w:ascii="Helvetica Neue" w:hAnsi="Helvetica Neue"/>
                <w:sz w:val="22"/>
                <w:szCs w:val="22"/>
              </w:rPr>
              <w:t xml:space="preserve"> Committee, </w:t>
            </w:r>
            <w:r>
              <w:rPr>
                <w:rFonts w:ascii="Helvetica Neue" w:hAnsi="Helvetica Neue"/>
                <w:sz w:val="22"/>
                <w:szCs w:val="22"/>
              </w:rPr>
              <w:t xml:space="preserve">SAS Department </w:t>
            </w:r>
            <w:r w:rsidR="00375CB0">
              <w:rPr>
                <w:rFonts w:ascii="Helvetica Neue" w:hAnsi="Helvetica Neue"/>
                <w:sz w:val="22"/>
                <w:szCs w:val="22"/>
              </w:rPr>
              <w:t>m</w:t>
            </w:r>
            <w:r>
              <w:rPr>
                <w:rFonts w:ascii="Helvetica Neue" w:hAnsi="Helvetica Neue"/>
                <w:sz w:val="22"/>
                <w:szCs w:val="22"/>
              </w:rPr>
              <w:t>eeting)</w:t>
            </w:r>
          </w:p>
          <w:p w14:paraId="2AF035CF" w14:textId="2C6F6019" w:rsidR="00375CB0" w:rsidRDefault="00375CB0">
            <w:pPr>
              <w:spacing w:after="160" w:line="259" w:lineRule="auto"/>
              <w:rPr>
                <w:rFonts w:ascii="Helvetica Neue" w:hAnsi="Helvetica Neue"/>
                <w:sz w:val="22"/>
                <w:szCs w:val="22"/>
              </w:rPr>
            </w:pPr>
            <w:r>
              <w:rPr>
                <w:rFonts w:ascii="Helvetica Neue" w:hAnsi="Helvetica Neue"/>
                <w:sz w:val="22"/>
                <w:szCs w:val="22"/>
              </w:rPr>
              <w:t>Catherine Lynn Massey (</w:t>
            </w:r>
            <w:r w:rsidR="00056CBF">
              <w:rPr>
                <w:rFonts w:ascii="Helvetica Neue" w:hAnsi="Helvetica Neue"/>
                <w:sz w:val="22"/>
                <w:szCs w:val="22"/>
              </w:rPr>
              <w:t xml:space="preserve">Student Services Council, </w:t>
            </w:r>
            <w:r>
              <w:rPr>
                <w:rFonts w:ascii="Helvetica Neue" w:hAnsi="Helvetica Neue"/>
                <w:sz w:val="22"/>
                <w:szCs w:val="22"/>
              </w:rPr>
              <w:t>SAS Departmental meetings)</w:t>
            </w:r>
          </w:p>
          <w:p w14:paraId="71CCF588" w14:textId="661E1DF0" w:rsidR="009C10A0" w:rsidRPr="00EF51AB" w:rsidRDefault="009C10A0">
            <w:pPr>
              <w:spacing w:after="160" w:line="259" w:lineRule="auto"/>
              <w:rPr>
                <w:rFonts w:ascii="Helvetica Neue" w:hAnsi="Helvetica Neue"/>
                <w:sz w:val="22"/>
                <w:szCs w:val="22"/>
              </w:rPr>
            </w:pPr>
            <w:r>
              <w:rPr>
                <w:rFonts w:ascii="Helvetica Neue" w:hAnsi="Helvetica Neue"/>
                <w:sz w:val="22"/>
                <w:szCs w:val="22"/>
              </w:rPr>
              <w:t xml:space="preserve">Maricela Becerra (SAS Department </w:t>
            </w:r>
            <w:r w:rsidR="00375CB0">
              <w:rPr>
                <w:rFonts w:ascii="Helvetica Neue" w:hAnsi="Helvetica Neue"/>
                <w:sz w:val="22"/>
                <w:szCs w:val="22"/>
              </w:rPr>
              <w:t>m</w:t>
            </w:r>
            <w:r>
              <w:rPr>
                <w:rFonts w:ascii="Helvetica Neue" w:hAnsi="Helvetica Neue"/>
                <w:sz w:val="22"/>
                <w:szCs w:val="22"/>
              </w:rPr>
              <w:t>eetings)</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613328DB" w:rsidR="006F23C4" w:rsidRPr="009C10A0" w:rsidRDefault="009C10A0" w:rsidP="006F23C4">
            <w:pPr>
              <w:spacing w:after="160" w:line="259" w:lineRule="auto"/>
              <w:rPr>
                <w:rFonts w:ascii="Helvetica Neue" w:hAnsi="Helvetica Neue"/>
                <w:sz w:val="22"/>
                <w:szCs w:val="22"/>
              </w:rPr>
            </w:pPr>
            <w:r>
              <w:rPr>
                <w:rFonts w:ascii="Helvetica Neue" w:hAnsi="Helvetica Neue"/>
                <w:sz w:val="22"/>
                <w:szCs w:val="22"/>
              </w:rPr>
              <w:t>SAS staff and faculty work with College Internship Program (CIP) and with CA State Department of Rehabilitation. BCC SAS staff also work and communicate closely with SAS personnel districtwide.</w:t>
            </w:r>
          </w:p>
        </w:tc>
      </w:tr>
      <w:tr w:rsidR="006F23C4" w14:paraId="19CC9E2E" w14:textId="77777777" w:rsidTr="006F23C4">
        <w:tc>
          <w:tcPr>
            <w:tcW w:w="9926" w:type="dxa"/>
          </w:tcPr>
          <w:p w14:paraId="61EE9B67" w14:textId="5418F44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14:paraId="0ED9800F" w14:textId="77777777" w:rsidTr="00821912">
        <w:tc>
          <w:tcPr>
            <w:tcW w:w="9926" w:type="dxa"/>
            <w:shd w:val="clear" w:color="auto" w:fill="FFF2CC" w:themeFill="accent4" w:themeFillTint="33"/>
          </w:tcPr>
          <w:p w14:paraId="59DD036E" w14:textId="7BFFDB05" w:rsidR="006F23C4" w:rsidRPr="009C10A0" w:rsidRDefault="009C10A0" w:rsidP="006F23C4">
            <w:pPr>
              <w:spacing w:after="160" w:line="259" w:lineRule="auto"/>
              <w:rPr>
                <w:rFonts w:ascii="Helvetica Neue" w:hAnsi="Helvetica Neue"/>
                <w:sz w:val="22"/>
                <w:szCs w:val="22"/>
              </w:rPr>
            </w:pPr>
            <w:r>
              <w:rPr>
                <w:rFonts w:ascii="Helvetica Neue" w:hAnsi="Helvetica Neue"/>
                <w:sz w:val="22"/>
                <w:szCs w:val="22"/>
              </w:rPr>
              <w:lastRenderedPageBreak/>
              <w:t>All staff</w:t>
            </w:r>
            <w:r w:rsidR="00AB1918">
              <w:rPr>
                <w:rFonts w:ascii="Helvetica Neue" w:hAnsi="Helvetica Neue"/>
                <w:sz w:val="22"/>
                <w:szCs w:val="22"/>
              </w:rPr>
              <w:t xml:space="preserve"> (classified and faculty) participate in month departmental meetings for SAS and at Student Services Council meetings.</w:t>
            </w:r>
          </w:p>
        </w:tc>
      </w:tr>
      <w:tr w:rsidR="006F23C4" w14:paraId="6681A0BB" w14:textId="77777777" w:rsidTr="006F23C4">
        <w:tc>
          <w:tcPr>
            <w:tcW w:w="9926" w:type="dxa"/>
          </w:tcPr>
          <w:p w14:paraId="491284E8" w14:textId="6D356762"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0535E2EA" w:rsidR="006F23C4" w:rsidRPr="006F23C4" w:rsidRDefault="00AB1918">
            <w:pPr>
              <w:spacing w:after="160" w:line="259" w:lineRule="auto"/>
              <w:rPr>
                <w:rFonts w:ascii="Helvetica Neue" w:hAnsi="Helvetica Neue"/>
                <w:color w:val="FF0000"/>
                <w:sz w:val="22"/>
                <w:szCs w:val="22"/>
              </w:rPr>
            </w:pPr>
            <w:r>
              <w:rPr>
                <w:rFonts w:ascii="Helvetica Neue" w:hAnsi="Helvetica Neue"/>
                <w:sz w:val="22"/>
                <w:szCs w:val="22"/>
              </w:rPr>
              <w:t>All staff (classified and faculty) participate in month departmental meetings for SAS and at Student Services Council meetings.</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E454D4">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E454D4">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E454D4">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E454D4">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E454D4">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59AD1664"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6B50CB"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1B520202" w:rsidR="00EF012D" w:rsidRPr="00EC7286" w:rsidRDefault="00603E17" w:rsidP="007158B5">
            <w:pPr>
              <w:rPr>
                <w:rFonts w:ascii="Helvetica Neue" w:hAnsi="Helvetica Neue" w:cs="Segoe UI"/>
              </w:rPr>
            </w:pPr>
            <w:r>
              <w:rPr>
                <w:rFonts w:ascii="Helvetica Neue" w:hAnsi="Helvetica Neue" w:cs="Segoe UI"/>
              </w:rPr>
              <w:t>Alternate Media Assistant</w:t>
            </w:r>
          </w:p>
        </w:tc>
        <w:tc>
          <w:tcPr>
            <w:tcW w:w="1170" w:type="dxa"/>
            <w:shd w:val="clear" w:color="auto" w:fill="FFF2CC" w:themeFill="accent4" w:themeFillTint="33"/>
          </w:tcPr>
          <w:p w14:paraId="0005C329" w14:textId="50BB40CF" w:rsidR="00EF012D" w:rsidRPr="00EC7286" w:rsidRDefault="00603E17" w:rsidP="007158B5">
            <w:pPr>
              <w:rPr>
                <w:rFonts w:ascii="Helvetica Neue" w:hAnsi="Helvetica Neue" w:cs="Segoe UI"/>
              </w:rPr>
            </w:pPr>
            <w:r>
              <w:rPr>
                <w:rFonts w:ascii="Helvetica Neue" w:hAnsi="Helvetica Neue" w:cs="Segoe UI"/>
              </w:rPr>
              <w:t>$65,000</w:t>
            </w:r>
          </w:p>
        </w:tc>
        <w:tc>
          <w:tcPr>
            <w:tcW w:w="1430" w:type="dxa"/>
            <w:shd w:val="clear" w:color="auto" w:fill="FFF2CC" w:themeFill="accent4" w:themeFillTint="33"/>
          </w:tcPr>
          <w:p w14:paraId="781CBDC1" w14:textId="35AA59A6" w:rsidR="00EF012D" w:rsidRPr="00EC7286" w:rsidRDefault="00603E17" w:rsidP="007158B5">
            <w:pPr>
              <w:rPr>
                <w:rFonts w:ascii="Helvetica Neue" w:hAnsi="Helvetica Neue" w:cs="Segoe UI"/>
              </w:rPr>
            </w:pPr>
            <w:r>
              <w:rPr>
                <w:rFonts w:ascii="Helvetica Neue" w:hAnsi="Helvetica Neue" w:cs="Segoe UI"/>
              </w:rPr>
              <w:t>$35,000</w:t>
            </w:r>
          </w:p>
        </w:tc>
        <w:tc>
          <w:tcPr>
            <w:tcW w:w="1180" w:type="dxa"/>
            <w:shd w:val="clear" w:color="auto" w:fill="FFF2CC" w:themeFill="accent4" w:themeFillTint="33"/>
          </w:tcPr>
          <w:p w14:paraId="01A8885C" w14:textId="7725C7C8" w:rsidR="00EF012D" w:rsidRPr="00EC7286" w:rsidRDefault="00EC5C05" w:rsidP="007158B5">
            <w:pPr>
              <w:rPr>
                <w:rFonts w:ascii="Helvetica Neue" w:hAnsi="Helvetica Neue" w:cs="Segoe UI"/>
              </w:rPr>
            </w:pPr>
            <w:r>
              <w:rPr>
                <w:rFonts w:ascii="Helvetica Neue" w:hAnsi="Helvetica Neue" w:cs="Segoe UI"/>
              </w:rPr>
              <w:t>$100,000</w:t>
            </w:r>
          </w:p>
        </w:tc>
        <w:tc>
          <w:tcPr>
            <w:tcW w:w="1687" w:type="dxa"/>
            <w:shd w:val="clear" w:color="auto" w:fill="FFF2CC" w:themeFill="accent4" w:themeFillTint="33"/>
          </w:tcPr>
          <w:p w14:paraId="15BB3CCA" w14:textId="32B4E67A" w:rsidR="00EF012D" w:rsidRPr="00EC7286" w:rsidRDefault="00603E17" w:rsidP="007158B5">
            <w:pPr>
              <w:rPr>
                <w:rFonts w:ascii="Helvetica Neue" w:hAnsi="Helvetica Neue" w:cs="Segoe UI"/>
              </w:rPr>
            </w:pPr>
            <w:r>
              <w:rPr>
                <w:rFonts w:ascii="Helvetica Neue" w:hAnsi="Helvetica Neue" w:cs="Segoe UI"/>
              </w:rPr>
              <w:t>2</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30FDDFDA" w:rsidR="00EF012D" w:rsidRPr="00EC7286" w:rsidRDefault="00603E17" w:rsidP="00D13C0F">
            <w:pPr>
              <w:rPr>
                <w:rFonts w:ascii="Helvetica Neue" w:hAnsi="Helvetica Neue" w:cs="Segoe UI"/>
              </w:rPr>
            </w:pPr>
            <w:r>
              <w:rPr>
                <w:rFonts w:ascii="Helvetica Neue" w:hAnsi="Helvetica Neue" w:cs="Segoe UI"/>
              </w:rPr>
              <w:t>Student Worker</w:t>
            </w:r>
          </w:p>
        </w:tc>
        <w:tc>
          <w:tcPr>
            <w:tcW w:w="1170" w:type="dxa"/>
            <w:shd w:val="clear" w:color="auto" w:fill="FFF2CC" w:themeFill="accent4" w:themeFillTint="33"/>
          </w:tcPr>
          <w:p w14:paraId="262253EC" w14:textId="1F307FB2" w:rsidR="00EF012D" w:rsidRPr="00EC7286" w:rsidRDefault="00603E17" w:rsidP="007158B5">
            <w:pPr>
              <w:rPr>
                <w:rFonts w:ascii="Helvetica Neue" w:hAnsi="Helvetica Neue" w:cs="Segoe UI"/>
              </w:rPr>
            </w:pPr>
            <w:r>
              <w:rPr>
                <w:rFonts w:ascii="Helvetica Neue" w:hAnsi="Helvetica Neue" w:cs="Segoe UI"/>
              </w:rPr>
              <w:t>$18,000</w:t>
            </w:r>
          </w:p>
        </w:tc>
        <w:tc>
          <w:tcPr>
            <w:tcW w:w="1430" w:type="dxa"/>
            <w:shd w:val="clear" w:color="auto" w:fill="FFF2CC" w:themeFill="accent4" w:themeFillTint="33"/>
          </w:tcPr>
          <w:p w14:paraId="0DFA3A16" w14:textId="5CDA9AF7" w:rsidR="00EF012D" w:rsidRPr="00EC7286" w:rsidRDefault="00EC5C05" w:rsidP="007158B5">
            <w:pPr>
              <w:rPr>
                <w:rFonts w:ascii="Helvetica Neue" w:hAnsi="Helvetica Neue" w:cs="Segoe UI"/>
              </w:rPr>
            </w:pPr>
            <w:r>
              <w:rPr>
                <w:rFonts w:ascii="Helvetica Neue" w:hAnsi="Helvetica Neue" w:cs="Segoe UI"/>
              </w:rPr>
              <w:t>$3,000</w:t>
            </w:r>
          </w:p>
        </w:tc>
        <w:tc>
          <w:tcPr>
            <w:tcW w:w="1180" w:type="dxa"/>
            <w:shd w:val="clear" w:color="auto" w:fill="FFF2CC" w:themeFill="accent4" w:themeFillTint="33"/>
          </w:tcPr>
          <w:p w14:paraId="53931E0E" w14:textId="0C108984" w:rsidR="00EF012D" w:rsidRPr="00EC7286" w:rsidRDefault="00EC5C05" w:rsidP="007158B5">
            <w:pPr>
              <w:rPr>
                <w:rFonts w:ascii="Helvetica Neue" w:hAnsi="Helvetica Neue" w:cs="Segoe UI"/>
              </w:rPr>
            </w:pPr>
            <w:r>
              <w:rPr>
                <w:rFonts w:ascii="Helvetica Neue" w:hAnsi="Helvetica Neue" w:cs="Segoe UI"/>
              </w:rPr>
              <w:t>$21,000</w:t>
            </w:r>
          </w:p>
        </w:tc>
        <w:tc>
          <w:tcPr>
            <w:tcW w:w="1687" w:type="dxa"/>
            <w:shd w:val="clear" w:color="auto" w:fill="FFF2CC" w:themeFill="accent4" w:themeFillTint="33"/>
          </w:tcPr>
          <w:p w14:paraId="6C0FE4C3" w14:textId="7F6E3638" w:rsidR="00EF012D" w:rsidRPr="00EC7286" w:rsidRDefault="00EC5C05" w:rsidP="007158B5">
            <w:pPr>
              <w:rPr>
                <w:rFonts w:ascii="Helvetica Neue" w:hAnsi="Helvetica Neue" w:cs="Segoe UI"/>
              </w:rPr>
            </w:pPr>
            <w:r>
              <w:rPr>
                <w:rFonts w:ascii="Helvetica Neue" w:hAnsi="Helvetica Neue" w:cs="Segoe UI"/>
              </w:rPr>
              <w:t>3</w:t>
            </w: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C4416E7" w:rsidR="00EF012D" w:rsidRPr="00EC7286" w:rsidRDefault="00603E17" w:rsidP="007158B5">
            <w:pPr>
              <w:rPr>
                <w:rFonts w:ascii="Helvetica Neue" w:hAnsi="Helvetica Neue" w:cs="Segoe UI"/>
              </w:rPr>
            </w:pPr>
            <w:r>
              <w:rPr>
                <w:rFonts w:ascii="Helvetica Neue" w:hAnsi="Helvetica Neue" w:cs="Segoe UI"/>
              </w:rPr>
              <w:t>Need for</w:t>
            </w:r>
            <w:r w:rsidR="00C43B96">
              <w:rPr>
                <w:rFonts w:ascii="Helvetica Neue" w:hAnsi="Helvetica Neue" w:cs="Segoe UI"/>
              </w:rPr>
              <w:t xml:space="preserve"> 1</w:t>
            </w:r>
            <w:r w:rsidR="000B2233">
              <w:rPr>
                <w:rFonts w:ascii="Helvetica Neue" w:hAnsi="Helvetica Neue" w:cs="Segoe UI"/>
              </w:rPr>
              <w:t>.0 FTE</w:t>
            </w:r>
            <w:r>
              <w:rPr>
                <w:rFonts w:ascii="Helvetica Neue" w:hAnsi="Helvetica Neue" w:cs="Segoe UI"/>
              </w:rPr>
              <w:t xml:space="preserve"> </w:t>
            </w:r>
            <w:r w:rsidR="00C43B96">
              <w:rPr>
                <w:rFonts w:ascii="Helvetica Neue" w:hAnsi="Helvetica Neue" w:cs="Segoe UI"/>
              </w:rPr>
              <w:t>SAS C</w:t>
            </w:r>
            <w:r w:rsidR="0025140A">
              <w:rPr>
                <w:rFonts w:ascii="Helvetica Neue" w:hAnsi="Helvetica Neue" w:cs="Segoe UI"/>
              </w:rPr>
              <w:t>ounselor</w:t>
            </w:r>
          </w:p>
        </w:tc>
        <w:tc>
          <w:tcPr>
            <w:tcW w:w="1170" w:type="dxa"/>
            <w:shd w:val="clear" w:color="auto" w:fill="FFF2CC" w:themeFill="accent4" w:themeFillTint="33"/>
          </w:tcPr>
          <w:p w14:paraId="0BFA2FA9" w14:textId="2C916213" w:rsidR="00EF012D" w:rsidRPr="00EC7286" w:rsidRDefault="00603E17" w:rsidP="007158B5">
            <w:pPr>
              <w:rPr>
                <w:rFonts w:ascii="Helvetica Neue" w:hAnsi="Helvetica Neue" w:cs="Segoe UI"/>
              </w:rPr>
            </w:pPr>
            <w:r>
              <w:rPr>
                <w:rFonts w:ascii="Helvetica Neue" w:hAnsi="Helvetica Neue" w:cs="Segoe UI"/>
              </w:rPr>
              <w:t>$</w:t>
            </w:r>
            <w:r w:rsidR="0098711A">
              <w:rPr>
                <w:rFonts w:ascii="Helvetica Neue" w:hAnsi="Helvetica Neue" w:cs="Segoe UI"/>
              </w:rPr>
              <w:t>82,0</w:t>
            </w:r>
            <w:r>
              <w:rPr>
                <w:rFonts w:ascii="Helvetica Neue" w:hAnsi="Helvetica Neue" w:cs="Segoe UI"/>
              </w:rPr>
              <w:t>00</w:t>
            </w:r>
          </w:p>
        </w:tc>
        <w:tc>
          <w:tcPr>
            <w:tcW w:w="1430" w:type="dxa"/>
            <w:shd w:val="clear" w:color="auto" w:fill="FFF2CC" w:themeFill="accent4" w:themeFillTint="33"/>
          </w:tcPr>
          <w:p w14:paraId="18032962" w14:textId="2206AC08" w:rsidR="00EF012D" w:rsidRPr="00EC7286" w:rsidRDefault="00603E17" w:rsidP="007158B5">
            <w:pPr>
              <w:rPr>
                <w:rFonts w:ascii="Helvetica Neue" w:hAnsi="Helvetica Neue" w:cs="Segoe UI"/>
              </w:rPr>
            </w:pPr>
            <w:r>
              <w:rPr>
                <w:rFonts w:ascii="Helvetica Neue" w:hAnsi="Helvetica Neue" w:cs="Segoe UI"/>
              </w:rPr>
              <w:t>$35,000</w:t>
            </w:r>
          </w:p>
        </w:tc>
        <w:tc>
          <w:tcPr>
            <w:tcW w:w="1180" w:type="dxa"/>
            <w:shd w:val="clear" w:color="auto" w:fill="FFF2CC" w:themeFill="accent4" w:themeFillTint="33"/>
          </w:tcPr>
          <w:p w14:paraId="4C5756EA" w14:textId="334503AA" w:rsidR="00EF012D" w:rsidRPr="00EC7286" w:rsidRDefault="00603E17" w:rsidP="007158B5">
            <w:pPr>
              <w:rPr>
                <w:rFonts w:ascii="Helvetica Neue" w:hAnsi="Helvetica Neue" w:cs="Segoe UI"/>
              </w:rPr>
            </w:pPr>
            <w:r>
              <w:rPr>
                <w:rFonts w:ascii="Helvetica Neue" w:hAnsi="Helvetica Neue" w:cs="Segoe UI"/>
              </w:rPr>
              <w:t>$11</w:t>
            </w:r>
            <w:r w:rsidR="0098711A">
              <w:rPr>
                <w:rFonts w:ascii="Helvetica Neue" w:hAnsi="Helvetica Neue" w:cs="Segoe UI"/>
              </w:rPr>
              <w:t>7</w:t>
            </w:r>
            <w:r>
              <w:rPr>
                <w:rFonts w:ascii="Helvetica Neue" w:hAnsi="Helvetica Neue" w:cs="Segoe UI"/>
              </w:rPr>
              <w:t>,00</w:t>
            </w:r>
          </w:p>
        </w:tc>
        <w:tc>
          <w:tcPr>
            <w:tcW w:w="1687" w:type="dxa"/>
            <w:shd w:val="clear" w:color="auto" w:fill="FFF2CC" w:themeFill="accent4" w:themeFillTint="33"/>
          </w:tcPr>
          <w:p w14:paraId="6A001AE7" w14:textId="0D62E376" w:rsidR="00EF012D" w:rsidRPr="00EC7286" w:rsidRDefault="00603E17" w:rsidP="007158B5">
            <w:pPr>
              <w:rPr>
                <w:rFonts w:ascii="Helvetica Neue" w:hAnsi="Helvetica Neue" w:cs="Segoe UI"/>
              </w:rPr>
            </w:pPr>
            <w:r>
              <w:rPr>
                <w:rFonts w:ascii="Helvetica Neue" w:hAnsi="Helvetica Neue" w:cs="Segoe UI"/>
              </w:rPr>
              <w:t>1</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0C135525"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133" w:type="dxa"/>
            <w:gridSpan w:val="3"/>
            <w:shd w:val="clear" w:color="auto" w:fill="FFF2CC" w:themeFill="accent4" w:themeFillTint="33"/>
          </w:tcPr>
          <w:p w14:paraId="53C07469" w14:textId="1999C776" w:rsidR="00EF012D" w:rsidRPr="00EC7286" w:rsidRDefault="00E3048C" w:rsidP="00D13C0F">
            <w:pPr>
              <w:rPr>
                <w:rFonts w:ascii="Helvetica Neue" w:hAnsi="Helvetica Neue" w:cs="Segoe UI"/>
              </w:rPr>
            </w:pPr>
            <w:r>
              <w:rPr>
                <w:rFonts w:ascii="Helvetica Neue" w:hAnsi="Helvetica Neue" w:cs="Segoe UI"/>
              </w:rPr>
              <w:t>California Postsecondary Education and Disability yearly conference to receive latest legal updates and best practices in the field</w:t>
            </w:r>
          </w:p>
        </w:tc>
        <w:tc>
          <w:tcPr>
            <w:tcW w:w="1180" w:type="dxa"/>
            <w:shd w:val="clear" w:color="auto" w:fill="FFF2CC" w:themeFill="accent4" w:themeFillTint="33"/>
          </w:tcPr>
          <w:p w14:paraId="193EC35A" w14:textId="586019F5" w:rsidR="00EF012D" w:rsidRPr="00EC7286" w:rsidRDefault="00EF5992" w:rsidP="00EB2220">
            <w:pPr>
              <w:rPr>
                <w:rFonts w:ascii="Helvetica Neue" w:hAnsi="Helvetica Neue" w:cs="Segoe UI"/>
              </w:rPr>
            </w:pPr>
            <w:r>
              <w:rPr>
                <w:rFonts w:ascii="Helvetica Neue" w:hAnsi="Helvetica Neue" w:cs="Segoe UI"/>
              </w:rPr>
              <w:t>$</w:t>
            </w:r>
            <w:r w:rsidR="00E3048C">
              <w:rPr>
                <w:rFonts w:ascii="Helvetica Neue" w:hAnsi="Helvetica Neue" w:cs="Segoe UI"/>
              </w:rPr>
              <w:t>6</w:t>
            </w:r>
            <w:r>
              <w:rPr>
                <w:rFonts w:ascii="Helvetica Neue" w:hAnsi="Helvetica Neue" w:cs="Segoe UI"/>
              </w:rPr>
              <w:t>000</w:t>
            </w:r>
          </w:p>
        </w:tc>
        <w:tc>
          <w:tcPr>
            <w:tcW w:w="1687" w:type="dxa"/>
            <w:shd w:val="clear" w:color="auto" w:fill="FFF2CC" w:themeFill="accent4" w:themeFillTint="33"/>
          </w:tcPr>
          <w:p w14:paraId="6BFE2F87" w14:textId="4222F835" w:rsidR="00EF012D" w:rsidRPr="00EC7286" w:rsidRDefault="00EC5C05" w:rsidP="00EB2220">
            <w:pPr>
              <w:rPr>
                <w:rFonts w:ascii="Helvetica Neue" w:hAnsi="Helvetica Neue" w:cs="Segoe UI"/>
              </w:rPr>
            </w:pPr>
            <w:r>
              <w:rPr>
                <w:rFonts w:ascii="Helvetica Neue" w:hAnsi="Helvetica Neue" w:cs="Segoe UI"/>
              </w:rPr>
              <w:t>1</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5338283D" w:rsidR="00EF012D" w:rsidRPr="00EC7286" w:rsidRDefault="00E3048C" w:rsidP="00EB2220">
            <w:pPr>
              <w:rPr>
                <w:rFonts w:ascii="Helvetica Neue" w:hAnsi="Helvetica Neue" w:cs="Segoe UI"/>
              </w:rPr>
            </w:pPr>
            <w:r>
              <w:rPr>
                <w:rFonts w:ascii="Helvetica Neue" w:hAnsi="Helvetica Neue" w:cs="Segoe UI"/>
              </w:rPr>
              <w:t>Courses</w:t>
            </w:r>
            <w:r w:rsidR="006930F3">
              <w:rPr>
                <w:rFonts w:ascii="Helvetica Neue" w:hAnsi="Helvetica Neue" w:cs="Segoe UI"/>
              </w:rPr>
              <w:t xml:space="preserve"> to increase training on</w:t>
            </w:r>
            <w:r w:rsidR="00EC5C05">
              <w:rPr>
                <w:rFonts w:ascii="Helvetica Neue" w:hAnsi="Helvetica Neue" w:cs="Segoe UI"/>
              </w:rPr>
              <w:t xml:space="preserve"> software applications such as MS Access, Excel, </w:t>
            </w:r>
            <w:proofErr w:type="gramStart"/>
            <w:r w:rsidR="00EC5C05">
              <w:rPr>
                <w:rFonts w:ascii="Helvetica Neue" w:hAnsi="Helvetica Neue" w:cs="Segoe UI"/>
              </w:rPr>
              <w:t>Adobe</w:t>
            </w:r>
            <w:proofErr w:type="gramEnd"/>
            <w:r w:rsidR="00EC5C05">
              <w:rPr>
                <w:rFonts w:ascii="Helvetica Neue" w:hAnsi="Helvetica Neue" w:cs="Segoe UI"/>
              </w:rPr>
              <w:t xml:space="preserve"> and foreign language classes to increase communication between staff and general public</w:t>
            </w:r>
            <w:r w:rsidR="004E4DC9">
              <w:rPr>
                <w:rFonts w:ascii="Helvetica Neue" w:hAnsi="Helvetica Neue" w:cs="Segoe UI"/>
              </w:rPr>
              <w:t>, as well as disability-related coursework.</w:t>
            </w: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58DE6CA5" w:rsidR="00EF012D" w:rsidRPr="00EC7286" w:rsidRDefault="00E3048C" w:rsidP="00EB2220">
            <w:pPr>
              <w:rPr>
                <w:rFonts w:ascii="Helvetica Neue" w:hAnsi="Helvetica Neue" w:cs="Segoe UI"/>
              </w:rPr>
            </w:pPr>
            <w:r>
              <w:rPr>
                <w:rFonts w:ascii="Helvetica Neue" w:hAnsi="Helvetica Neue" w:cs="Segoe UI"/>
              </w:rPr>
              <w:t>$3000</w:t>
            </w:r>
          </w:p>
        </w:tc>
        <w:tc>
          <w:tcPr>
            <w:tcW w:w="1687" w:type="dxa"/>
            <w:shd w:val="clear" w:color="auto" w:fill="FFF2CC" w:themeFill="accent4" w:themeFillTint="33"/>
          </w:tcPr>
          <w:p w14:paraId="68BABE02" w14:textId="5298D874" w:rsidR="00EF012D" w:rsidRPr="00EC7286" w:rsidRDefault="00EC5C05" w:rsidP="00EB2220">
            <w:pPr>
              <w:rPr>
                <w:rFonts w:ascii="Helvetica Neue" w:hAnsi="Helvetica Neue" w:cs="Segoe UI"/>
              </w:rPr>
            </w:pPr>
            <w:r>
              <w:rPr>
                <w:rFonts w:ascii="Helvetica Neue" w:hAnsi="Helvetica Neue" w:cs="Segoe UI"/>
              </w:rPr>
              <w:t>2</w:t>
            </w: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ADD7A7C" w:rsidR="00EF012D" w:rsidRPr="00EC7286" w:rsidRDefault="00EF5992" w:rsidP="00D13C0F">
            <w:pPr>
              <w:rPr>
                <w:rFonts w:ascii="Helvetica Neue" w:hAnsi="Helvetica Neue" w:cs="Segoe UI"/>
              </w:rPr>
            </w:pPr>
            <w:r>
              <w:rPr>
                <w:rFonts w:ascii="Helvetica Neue" w:hAnsi="Helvetica Neue" w:cs="Segoe UI"/>
              </w:rPr>
              <w:t xml:space="preserve">Adaptive software license </w:t>
            </w:r>
            <w:r w:rsidR="007B29A4">
              <w:rPr>
                <w:rFonts w:ascii="Helvetica Neue" w:hAnsi="Helvetica Neue" w:cs="Segoe UI"/>
              </w:rPr>
              <w:t xml:space="preserve">renewal </w:t>
            </w:r>
            <w:r>
              <w:rPr>
                <w:rFonts w:ascii="Helvetica Neue" w:hAnsi="Helvetica Neue" w:cs="Segoe UI"/>
              </w:rPr>
              <w:t xml:space="preserve">for students such as Kurzweil, </w:t>
            </w:r>
            <w:proofErr w:type="spellStart"/>
            <w:r>
              <w:rPr>
                <w:rFonts w:ascii="Helvetica Neue" w:hAnsi="Helvetica Neue" w:cs="Segoe UI"/>
              </w:rPr>
              <w:t>MathType</w:t>
            </w:r>
            <w:proofErr w:type="spellEnd"/>
            <w:r>
              <w:rPr>
                <w:rFonts w:ascii="Helvetica Neue" w:hAnsi="Helvetica Neue" w:cs="Segoe UI"/>
              </w:rPr>
              <w:t xml:space="preserve">, </w:t>
            </w:r>
            <w:proofErr w:type="spellStart"/>
            <w:r>
              <w:rPr>
                <w:rFonts w:ascii="Helvetica Neue" w:hAnsi="Helvetica Neue" w:cs="Segoe UI"/>
              </w:rPr>
              <w:t>Sonocent</w:t>
            </w:r>
            <w:proofErr w:type="spellEnd"/>
            <w:r>
              <w:rPr>
                <w:rFonts w:ascii="Helvetica Neue" w:hAnsi="Helvetica Neue" w:cs="Segoe UI"/>
              </w:rPr>
              <w:t>, and other alternate media production software.</w:t>
            </w:r>
          </w:p>
        </w:tc>
        <w:tc>
          <w:tcPr>
            <w:tcW w:w="1180" w:type="dxa"/>
            <w:shd w:val="clear" w:color="auto" w:fill="FFF2CC" w:themeFill="accent4" w:themeFillTint="33"/>
          </w:tcPr>
          <w:p w14:paraId="4EB4046F" w14:textId="58E7B2F5" w:rsidR="00EF012D" w:rsidRPr="00EC7286" w:rsidRDefault="00EF5992" w:rsidP="00EB2220">
            <w:pPr>
              <w:rPr>
                <w:rFonts w:ascii="Helvetica Neue" w:hAnsi="Helvetica Neue" w:cs="Segoe UI"/>
              </w:rPr>
            </w:pPr>
            <w:r>
              <w:rPr>
                <w:rFonts w:ascii="Helvetica Neue" w:hAnsi="Helvetica Neue" w:cs="Segoe UI"/>
              </w:rPr>
              <w:t>$</w:t>
            </w:r>
            <w:r w:rsidR="004E4DC9">
              <w:rPr>
                <w:rFonts w:ascii="Helvetica Neue" w:hAnsi="Helvetica Neue" w:cs="Segoe UI"/>
              </w:rPr>
              <w:t>7</w:t>
            </w:r>
            <w:r>
              <w:rPr>
                <w:rFonts w:ascii="Helvetica Neue" w:hAnsi="Helvetica Neue" w:cs="Segoe UI"/>
              </w:rPr>
              <w:t>000</w:t>
            </w:r>
          </w:p>
        </w:tc>
        <w:tc>
          <w:tcPr>
            <w:tcW w:w="1687" w:type="dxa"/>
            <w:shd w:val="clear" w:color="auto" w:fill="FFF2CC" w:themeFill="accent4" w:themeFillTint="33"/>
          </w:tcPr>
          <w:p w14:paraId="1857A0E8" w14:textId="4B60D63E" w:rsidR="00EF012D" w:rsidRPr="00EC7286" w:rsidRDefault="00EC5C05" w:rsidP="00EB2220">
            <w:pPr>
              <w:rPr>
                <w:rFonts w:ascii="Helvetica Neue" w:hAnsi="Helvetica Neue" w:cs="Segoe UI"/>
              </w:rPr>
            </w:pPr>
            <w:r>
              <w:rPr>
                <w:rFonts w:ascii="Helvetica Neue" w:hAnsi="Helvetica Neue" w:cs="Segoe UI"/>
              </w:rPr>
              <w:t>2</w:t>
            </w: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1C680D55" w:rsidR="00EF012D" w:rsidRPr="00EC7286" w:rsidRDefault="00EF5992" w:rsidP="00EB2220">
            <w:pPr>
              <w:rPr>
                <w:rFonts w:ascii="Helvetica Neue" w:hAnsi="Helvetica Neue" w:cs="Segoe UI"/>
              </w:rPr>
            </w:pPr>
            <w:r>
              <w:rPr>
                <w:rFonts w:ascii="Helvetica Neue" w:hAnsi="Helvetica Neue" w:cs="Segoe UI"/>
              </w:rPr>
              <w:t>DSM-5</w:t>
            </w:r>
            <w:r w:rsidR="007B29A4">
              <w:rPr>
                <w:rFonts w:ascii="Helvetica Neue" w:hAnsi="Helvetica Neue" w:cs="Segoe UI"/>
              </w:rPr>
              <w:t>, AHEAD subscription to Journal Postsecondary Disability and Education</w:t>
            </w:r>
          </w:p>
        </w:tc>
        <w:tc>
          <w:tcPr>
            <w:tcW w:w="1180" w:type="dxa"/>
            <w:shd w:val="clear" w:color="auto" w:fill="FFF2CC" w:themeFill="accent4" w:themeFillTint="33"/>
          </w:tcPr>
          <w:p w14:paraId="625BDB47" w14:textId="6472A345" w:rsidR="00EF012D" w:rsidRPr="00EC7286" w:rsidRDefault="007B29A4" w:rsidP="00EB2220">
            <w:pPr>
              <w:rPr>
                <w:rFonts w:ascii="Helvetica Neue" w:hAnsi="Helvetica Neue" w:cs="Segoe UI"/>
              </w:rPr>
            </w:pPr>
            <w:r>
              <w:rPr>
                <w:rFonts w:ascii="Helvetica Neue" w:hAnsi="Helvetica Neue" w:cs="Segoe UI"/>
              </w:rPr>
              <w:t>$1000</w:t>
            </w:r>
          </w:p>
        </w:tc>
        <w:tc>
          <w:tcPr>
            <w:tcW w:w="1687" w:type="dxa"/>
            <w:shd w:val="clear" w:color="auto" w:fill="FFF2CC" w:themeFill="accent4" w:themeFillTint="33"/>
          </w:tcPr>
          <w:p w14:paraId="359CD809" w14:textId="144CE6E6" w:rsidR="00EF012D" w:rsidRPr="00EC7286" w:rsidRDefault="00EC5C05" w:rsidP="00EB2220">
            <w:pPr>
              <w:rPr>
                <w:rFonts w:ascii="Helvetica Neue" w:hAnsi="Helvetica Neue" w:cs="Segoe UI"/>
              </w:rPr>
            </w:pPr>
            <w:r>
              <w:rPr>
                <w:rFonts w:ascii="Helvetica Neue" w:hAnsi="Helvetica Neue" w:cs="Segoe UI"/>
              </w:rPr>
              <w:t>4</w:t>
            </w: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510E673D" w:rsidR="00EF012D" w:rsidRPr="00EC7286" w:rsidRDefault="007B29A4" w:rsidP="00EB2220">
            <w:pPr>
              <w:rPr>
                <w:rFonts w:ascii="Helvetica Neue" w:hAnsi="Helvetica Neue" w:cs="Segoe UI"/>
              </w:rPr>
            </w:pPr>
            <w:r>
              <w:rPr>
                <w:rFonts w:ascii="Helvetica Neue" w:hAnsi="Helvetica Neue" w:cs="Segoe UI"/>
              </w:rPr>
              <w:t xml:space="preserve">Laptops with adaptive software, </w:t>
            </w:r>
            <w:proofErr w:type="spellStart"/>
            <w:r>
              <w:rPr>
                <w:rFonts w:ascii="Helvetica Neue" w:hAnsi="Helvetica Neue" w:cs="Segoe UI"/>
              </w:rPr>
              <w:t>SmartPens</w:t>
            </w:r>
            <w:proofErr w:type="spellEnd"/>
            <w:r>
              <w:rPr>
                <w:rFonts w:ascii="Helvetica Neue" w:hAnsi="Helvetica Neue" w:cs="Segoe UI"/>
              </w:rPr>
              <w:t xml:space="preserve">, </w:t>
            </w:r>
            <w:proofErr w:type="spellStart"/>
            <w:r>
              <w:rPr>
                <w:rFonts w:ascii="Helvetica Neue" w:hAnsi="Helvetica Neue" w:cs="Segoe UI"/>
              </w:rPr>
              <w:t>SmartPen</w:t>
            </w:r>
            <w:proofErr w:type="spellEnd"/>
            <w:r>
              <w:rPr>
                <w:rFonts w:ascii="Helvetica Neue" w:hAnsi="Helvetica Neue" w:cs="Segoe UI"/>
              </w:rPr>
              <w:t xml:space="preserve"> accessories, digital recorders, </w:t>
            </w:r>
            <w:r>
              <w:rPr>
                <w:rFonts w:ascii="Helvetica Neue" w:hAnsi="Helvetica Neue" w:cs="Segoe UI"/>
              </w:rPr>
              <w:lastRenderedPageBreak/>
              <w:t xml:space="preserve">microphones, 1 </w:t>
            </w:r>
            <w:proofErr w:type="spellStart"/>
            <w:r>
              <w:rPr>
                <w:rFonts w:ascii="Helvetica Neue" w:hAnsi="Helvetica Neue" w:cs="Segoe UI"/>
              </w:rPr>
              <w:t>UbiDuo</w:t>
            </w:r>
            <w:proofErr w:type="spellEnd"/>
            <w:r>
              <w:rPr>
                <w:rFonts w:ascii="Helvetica Neue" w:hAnsi="Helvetica Neue" w:cs="Segoe UI"/>
              </w:rPr>
              <w:t xml:space="preserve"> set, alternate media print materials, </w:t>
            </w:r>
          </w:p>
        </w:tc>
        <w:tc>
          <w:tcPr>
            <w:tcW w:w="1180" w:type="dxa"/>
            <w:shd w:val="clear" w:color="auto" w:fill="FFF2CC" w:themeFill="accent4" w:themeFillTint="33"/>
          </w:tcPr>
          <w:p w14:paraId="273E3D04" w14:textId="7250A660" w:rsidR="00EF012D" w:rsidRPr="00EC7286" w:rsidRDefault="007B29A4" w:rsidP="00EB2220">
            <w:pPr>
              <w:rPr>
                <w:rFonts w:ascii="Helvetica Neue" w:hAnsi="Helvetica Neue" w:cs="Segoe UI"/>
              </w:rPr>
            </w:pPr>
            <w:r>
              <w:rPr>
                <w:rFonts w:ascii="Helvetica Neue" w:hAnsi="Helvetica Neue" w:cs="Segoe UI"/>
              </w:rPr>
              <w:lastRenderedPageBreak/>
              <w:t>$6000</w:t>
            </w:r>
          </w:p>
        </w:tc>
        <w:tc>
          <w:tcPr>
            <w:tcW w:w="1687" w:type="dxa"/>
            <w:shd w:val="clear" w:color="auto" w:fill="FFF2CC" w:themeFill="accent4" w:themeFillTint="33"/>
          </w:tcPr>
          <w:p w14:paraId="16E1DD6A" w14:textId="5D07EE46" w:rsidR="00EF012D" w:rsidRPr="00EC7286" w:rsidRDefault="00EC5C05" w:rsidP="00EB2220">
            <w:pPr>
              <w:rPr>
                <w:rFonts w:ascii="Helvetica Neue" w:hAnsi="Helvetica Neue" w:cs="Segoe UI"/>
              </w:rPr>
            </w:pPr>
            <w:r>
              <w:rPr>
                <w:rFonts w:ascii="Helvetica Neue" w:hAnsi="Helvetica Neue" w:cs="Segoe UI"/>
              </w:rPr>
              <w:t>3</w:t>
            </w: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3D6A62B6"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8B1FFC5" w14:textId="7EEF34F2"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FEF9BAA" w14:textId="68BB7856" w:rsidR="00EF012D" w:rsidRPr="00EC7286" w:rsidRDefault="00EF012D" w:rsidP="00EB2220">
            <w:pPr>
              <w:rPr>
                <w:rFonts w:ascii="Helvetica Neue" w:hAnsi="Helvetica Neue" w:cs="Segoe UI"/>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720F63F5" w:rsidR="00EF012D" w:rsidRPr="00EC7286" w:rsidRDefault="00EF012D" w:rsidP="00BC7C2B">
            <w:pPr>
              <w:rPr>
                <w:rFonts w:ascii="Helvetica Neue" w:hAnsi="Helvetica Neue"/>
              </w:rPr>
            </w:pPr>
          </w:p>
        </w:tc>
        <w:tc>
          <w:tcPr>
            <w:tcW w:w="1180" w:type="dxa"/>
            <w:shd w:val="clear" w:color="auto" w:fill="FFF2CC" w:themeFill="accent4" w:themeFillTint="33"/>
          </w:tcPr>
          <w:p w14:paraId="22DB238F" w14:textId="4D993259"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518FD05" w14:textId="29CCB3F9" w:rsidR="00EF012D" w:rsidRPr="00EC7286" w:rsidRDefault="00EF012D" w:rsidP="00EB2220">
            <w:pPr>
              <w:rPr>
                <w:rFonts w:ascii="Helvetica Neue" w:hAnsi="Helvetica Neue" w:cs="Segoe UI"/>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6BFB2531" w:rsidR="00EF012D" w:rsidRPr="00EC7286" w:rsidRDefault="00E3048C" w:rsidP="00CD46CB">
            <w:pPr>
              <w:rPr>
                <w:rFonts w:ascii="Helvetica Neue" w:hAnsi="Helvetica Neue" w:cs="Segoe UI"/>
              </w:rPr>
            </w:pPr>
            <w:r>
              <w:rPr>
                <w:rFonts w:ascii="Helvetica Neue" w:hAnsi="Helvetica Neue" w:cs="Segoe UI"/>
              </w:rPr>
              <w:t>T</w:t>
            </w:r>
            <w:r>
              <w:rPr>
                <w:rFonts w:ascii="Helvetica Neue" w:hAnsi="Helvetica Neue" w:cs="Segoe UI"/>
              </w:rPr>
              <w:t>est proctoring cameras</w:t>
            </w:r>
            <w:r>
              <w:rPr>
                <w:rFonts w:ascii="Helvetica Neue" w:hAnsi="Helvetica Neue" w:cs="Segoe UI"/>
              </w:rPr>
              <w:t xml:space="preserve">, </w:t>
            </w:r>
            <w:r>
              <w:rPr>
                <w:rFonts w:ascii="Helvetica Neue" w:hAnsi="Helvetica Neue" w:cs="Segoe UI"/>
              </w:rPr>
              <w:t>Laptops</w:t>
            </w:r>
            <w:r w:rsidR="004E4DC9">
              <w:rPr>
                <w:rFonts w:ascii="Helvetica Neue" w:hAnsi="Helvetica Neue" w:cs="Segoe UI"/>
              </w:rPr>
              <w:t>/</w:t>
            </w:r>
            <w:proofErr w:type="gramStart"/>
            <w:r w:rsidR="004E4DC9">
              <w:rPr>
                <w:rFonts w:ascii="Helvetica Neue" w:hAnsi="Helvetica Neue" w:cs="Segoe UI"/>
              </w:rPr>
              <w:t>desktops</w:t>
            </w:r>
            <w:proofErr w:type="gramEnd"/>
            <w:r>
              <w:rPr>
                <w:rFonts w:ascii="Helvetica Neue" w:hAnsi="Helvetica Neue" w:cs="Segoe UI"/>
              </w:rPr>
              <w:t xml:space="preserve"> and printers</w:t>
            </w:r>
          </w:p>
        </w:tc>
        <w:tc>
          <w:tcPr>
            <w:tcW w:w="1180" w:type="dxa"/>
            <w:shd w:val="clear" w:color="auto" w:fill="FFF2CC" w:themeFill="accent4" w:themeFillTint="33"/>
          </w:tcPr>
          <w:p w14:paraId="6F4758EA" w14:textId="279D535D" w:rsidR="00EF012D" w:rsidRPr="00EC7286" w:rsidRDefault="00E3048C" w:rsidP="00EB2220">
            <w:pPr>
              <w:rPr>
                <w:rFonts w:ascii="Helvetica Neue" w:hAnsi="Helvetica Neue" w:cs="Segoe UI"/>
              </w:rPr>
            </w:pPr>
            <w:r>
              <w:rPr>
                <w:rFonts w:ascii="Helvetica Neue" w:hAnsi="Helvetica Neue" w:cs="Segoe UI"/>
              </w:rPr>
              <w:t>$10,000</w:t>
            </w:r>
          </w:p>
        </w:tc>
        <w:tc>
          <w:tcPr>
            <w:tcW w:w="1687" w:type="dxa"/>
            <w:shd w:val="clear" w:color="auto" w:fill="FFF2CC" w:themeFill="accent4" w:themeFillTint="33"/>
          </w:tcPr>
          <w:p w14:paraId="389EEAF0" w14:textId="4CB4B3C1" w:rsidR="00EF012D" w:rsidRPr="00EC7286" w:rsidRDefault="00EC5C05" w:rsidP="00EB2220">
            <w:pPr>
              <w:rPr>
                <w:rFonts w:ascii="Helvetica Neue" w:hAnsi="Helvetica Neue" w:cs="Segoe UI"/>
              </w:rPr>
            </w:pPr>
            <w:r>
              <w:rPr>
                <w:rFonts w:ascii="Helvetica Neue" w:hAnsi="Helvetica Neue" w:cs="Segoe UI"/>
              </w:rPr>
              <w:t>1</w:t>
            </w: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6D24AAE" w14:textId="77F3FB5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EB2220">
            <w:pPr>
              <w:rPr>
                <w:rFonts w:ascii="Helvetica Neue" w:hAnsi="Helvetica Neue" w:cs="Segoe UI"/>
                <w:strike/>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CD9F009" w14:textId="65FEB0E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06BC203" w14:textId="735D57BC" w:rsidR="00EF012D" w:rsidRPr="00EC7286" w:rsidRDefault="00EF012D" w:rsidP="00EB2220">
            <w:pPr>
              <w:rPr>
                <w:rFonts w:ascii="Helvetica Neue" w:hAnsi="Helvetica Neue" w:cs="Segoe UI"/>
                <w:strike/>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EB2220">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EB2220">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2D84D844"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5BB6521" w14:textId="5C6974FB"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4274E54" w14:textId="3C17757E" w:rsidR="00EF012D" w:rsidRPr="00EC7286" w:rsidRDefault="00EF012D" w:rsidP="00EB2220">
            <w:pPr>
              <w:rPr>
                <w:rFonts w:ascii="Helvetica Neue" w:hAnsi="Helvetica Neue" w:cs="Segoe UI"/>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EB2220">
            <w:pPr>
              <w:rPr>
                <w:rFonts w:ascii="Helvetica Neue" w:hAnsi="Helvetica Neue" w:cs="Segoe UI"/>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EC7286" w:rsidRDefault="002F1CA6" w:rsidP="00EB2220">
            <w:pPr>
              <w:rPr>
                <w:rFonts w:ascii="Helvetica Neue" w:hAnsi="Helvetica Neue" w:cs="Segoe UI"/>
              </w:rPr>
            </w:pPr>
          </w:p>
        </w:tc>
        <w:tc>
          <w:tcPr>
            <w:tcW w:w="1180" w:type="dxa"/>
            <w:shd w:val="clear" w:color="auto" w:fill="FFF2CC" w:themeFill="accent4" w:themeFillTint="33"/>
          </w:tcPr>
          <w:p w14:paraId="78EA81B0" w14:textId="77777777" w:rsidR="002F1CA6" w:rsidRPr="00EC7286" w:rsidRDefault="002F1CA6" w:rsidP="00EB2220">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EB2220">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E9C38B1"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6B50" w14:textId="77777777" w:rsidR="006B50CB" w:rsidRDefault="006B50CB" w:rsidP="000A0E4A">
      <w:r>
        <w:separator/>
      </w:r>
    </w:p>
  </w:endnote>
  <w:endnote w:type="continuationSeparator" w:id="0">
    <w:p w14:paraId="24C354DC" w14:textId="77777777" w:rsidR="006B50CB" w:rsidRDefault="006B50CB"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C22555D"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w:t>
    </w:r>
    <w:r w:rsidR="00D3188E">
      <w:rPr>
        <w:rFonts w:ascii="Avenir Book" w:hAnsi="Avenir Book"/>
        <w:b/>
        <w:bCs/>
        <w:sz w:val="16"/>
        <w:szCs w:val="16"/>
      </w:rPr>
      <w:t>Supervisors</w:t>
    </w:r>
    <w:r w:rsidRPr="00F051BE">
      <w:rPr>
        <w:rFonts w:ascii="Avenir Book" w:hAnsi="Avenir Book"/>
        <w:b/>
        <w:bCs/>
        <w:sz w:val="16"/>
        <w:szCs w:val="16"/>
      </w:rPr>
      <w:t xml:space="preserve">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w:t>
    </w:r>
    <w:r w:rsidR="00D3188E">
      <w:rPr>
        <w:rFonts w:ascii="Avenir Book" w:hAnsi="Avenir Book"/>
        <w:sz w:val="16"/>
        <w:szCs w:val="16"/>
      </w:rPr>
      <w:t xml:space="preserve">Student </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2328" w14:textId="77777777" w:rsidR="006B50CB" w:rsidRDefault="006B50CB" w:rsidP="000A0E4A">
      <w:r>
        <w:separator/>
      </w:r>
    </w:p>
  </w:footnote>
  <w:footnote w:type="continuationSeparator" w:id="0">
    <w:p w14:paraId="5292CD48" w14:textId="77777777" w:rsidR="006B50CB" w:rsidRDefault="006B50CB"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1506C271" w:rsidR="001C2F46" w:rsidRPr="00E156B9" w:rsidRDefault="00F42C00"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346C"/>
    <w:rsid w:val="00037073"/>
    <w:rsid w:val="00045335"/>
    <w:rsid w:val="00046315"/>
    <w:rsid w:val="000473A6"/>
    <w:rsid w:val="00051129"/>
    <w:rsid w:val="00051DCF"/>
    <w:rsid w:val="00056CBF"/>
    <w:rsid w:val="00066A61"/>
    <w:rsid w:val="00067241"/>
    <w:rsid w:val="000735E4"/>
    <w:rsid w:val="00091285"/>
    <w:rsid w:val="0009191B"/>
    <w:rsid w:val="00092046"/>
    <w:rsid w:val="000A0E4A"/>
    <w:rsid w:val="000A0F3E"/>
    <w:rsid w:val="000B0C10"/>
    <w:rsid w:val="000B2233"/>
    <w:rsid w:val="000C4F1D"/>
    <w:rsid w:val="000D087A"/>
    <w:rsid w:val="000E7A92"/>
    <w:rsid w:val="000E7F1F"/>
    <w:rsid w:val="00100D61"/>
    <w:rsid w:val="00101CB6"/>
    <w:rsid w:val="00106447"/>
    <w:rsid w:val="00106885"/>
    <w:rsid w:val="00112BC5"/>
    <w:rsid w:val="001135A7"/>
    <w:rsid w:val="00124C49"/>
    <w:rsid w:val="00124E7D"/>
    <w:rsid w:val="001319CA"/>
    <w:rsid w:val="00135120"/>
    <w:rsid w:val="001357DF"/>
    <w:rsid w:val="00135F5D"/>
    <w:rsid w:val="00136FD1"/>
    <w:rsid w:val="0013741D"/>
    <w:rsid w:val="001401FF"/>
    <w:rsid w:val="00145E32"/>
    <w:rsid w:val="001553A9"/>
    <w:rsid w:val="001623CE"/>
    <w:rsid w:val="00171A77"/>
    <w:rsid w:val="00175D9A"/>
    <w:rsid w:val="00182232"/>
    <w:rsid w:val="001930D6"/>
    <w:rsid w:val="001C0579"/>
    <w:rsid w:val="001C1050"/>
    <w:rsid w:val="001C2F46"/>
    <w:rsid w:val="001D0EDC"/>
    <w:rsid w:val="001F56EE"/>
    <w:rsid w:val="001F6AE2"/>
    <w:rsid w:val="0020247B"/>
    <w:rsid w:val="00204315"/>
    <w:rsid w:val="00211118"/>
    <w:rsid w:val="00241D3A"/>
    <w:rsid w:val="002420AB"/>
    <w:rsid w:val="0025140A"/>
    <w:rsid w:val="002574CB"/>
    <w:rsid w:val="00257F36"/>
    <w:rsid w:val="00266533"/>
    <w:rsid w:val="00271A16"/>
    <w:rsid w:val="00272013"/>
    <w:rsid w:val="002723D7"/>
    <w:rsid w:val="00274C68"/>
    <w:rsid w:val="00277930"/>
    <w:rsid w:val="002873CE"/>
    <w:rsid w:val="00290077"/>
    <w:rsid w:val="002A6D25"/>
    <w:rsid w:val="002A7ED3"/>
    <w:rsid w:val="002B07A3"/>
    <w:rsid w:val="002E404B"/>
    <w:rsid w:val="002E5421"/>
    <w:rsid w:val="002F1CA6"/>
    <w:rsid w:val="002F76E6"/>
    <w:rsid w:val="003016DE"/>
    <w:rsid w:val="00311E8A"/>
    <w:rsid w:val="00312A82"/>
    <w:rsid w:val="00327FE6"/>
    <w:rsid w:val="0033622C"/>
    <w:rsid w:val="003462B5"/>
    <w:rsid w:val="0036216D"/>
    <w:rsid w:val="00363461"/>
    <w:rsid w:val="003648A4"/>
    <w:rsid w:val="00364CF3"/>
    <w:rsid w:val="00375CB0"/>
    <w:rsid w:val="00380C1E"/>
    <w:rsid w:val="0038427D"/>
    <w:rsid w:val="00384317"/>
    <w:rsid w:val="0039058A"/>
    <w:rsid w:val="00390D15"/>
    <w:rsid w:val="003964BB"/>
    <w:rsid w:val="003A0E51"/>
    <w:rsid w:val="003A41A0"/>
    <w:rsid w:val="003A475B"/>
    <w:rsid w:val="003A78C7"/>
    <w:rsid w:val="003B32C1"/>
    <w:rsid w:val="003C7A1D"/>
    <w:rsid w:val="003D45B0"/>
    <w:rsid w:val="003D616D"/>
    <w:rsid w:val="003D7F6A"/>
    <w:rsid w:val="004100D2"/>
    <w:rsid w:val="00423702"/>
    <w:rsid w:val="00425484"/>
    <w:rsid w:val="00433830"/>
    <w:rsid w:val="00440527"/>
    <w:rsid w:val="0044190B"/>
    <w:rsid w:val="0045691E"/>
    <w:rsid w:val="00470CEB"/>
    <w:rsid w:val="00475A16"/>
    <w:rsid w:val="004800D2"/>
    <w:rsid w:val="00481660"/>
    <w:rsid w:val="004955AC"/>
    <w:rsid w:val="00495986"/>
    <w:rsid w:val="004A09B6"/>
    <w:rsid w:val="004A25AB"/>
    <w:rsid w:val="004C067C"/>
    <w:rsid w:val="004C5FDF"/>
    <w:rsid w:val="004E2A89"/>
    <w:rsid w:val="004E4DC9"/>
    <w:rsid w:val="004F0C55"/>
    <w:rsid w:val="00502BE2"/>
    <w:rsid w:val="00517630"/>
    <w:rsid w:val="00521806"/>
    <w:rsid w:val="005369F7"/>
    <w:rsid w:val="00537877"/>
    <w:rsid w:val="00546859"/>
    <w:rsid w:val="00570DE4"/>
    <w:rsid w:val="0057273B"/>
    <w:rsid w:val="005832CB"/>
    <w:rsid w:val="00591A55"/>
    <w:rsid w:val="005B2C05"/>
    <w:rsid w:val="005C5439"/>
    <w:rsid w:val="005C66CE"/>
    <w:rsid w:val="005D31E6"/>
    <w:rsid w:val="005D3CBC"/>
    <w:rsid w:val="005D73CB"/>
    <w:rsid w:val="005E118E"/>
    <w:rsid w:val="005F00FD"/>
    <w:rsid w:val="00603E17"/>
    <w:rsid w:val="00613145"/>
    <w:rsid w:val="00613FE2"/>
    <w:rsid w:val="00622BBB"/>
    <w:rsid w:val="006233AF"/>
    <w:rsid w:val="00624AE5"/>
    <w:rsid w:val="00625C50"/>
    <w:rsid w:val="00632554"/>
    <w:rsid w:val="00632E12"/>
    <w:rsid w:val="00635DC3"/>
    <w:rsid w:val="006425C8"/>
    <w:rsid w:val="00645E53"/>
    <w:rsid w:val="00647632"/>
    <w:rsid w:val="0065716F"/>
    <w:rsid w:val="00661447"/>
    <w:rsid w:val="00663D3B"/>
    <w:rsid w:val="0067367C"/>
    <w:rsid w:val="00680152"/>
    <w:rsid w:val="006830EE"/>
    <w:rsid w:val="00683385"/>
    <w:rsid w:val="006921DA"/>
    <w:rsid w:val="00692A9E"/>
    <w:rsid w:val="006930F3"/>
    <w:rsid w:val="00694280"/>
    <w:rsid w:val="006A188B"/>
    <w:rsid w:val="006B1C11"/>
    <w:rsid w:val="006B313F"/>
    <w:rsid w:val="006B50CB"/>
    <w:rsid w:val="006C06CC"/>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2544"/>
    <w:rsid w:val="007B29A4"/>
    <w:rsid w:val="007B4F27"/>
    <w:rsid w:val="007C13DB"/>
    <w:rsid w:val="007C3EB1"/>
    <w:rsid w:val="007C5F1D"/>
    <w:rsid w:val="007D0247"/>
    <w:rsid w:val="007D4B36"/>
    <w:rsid w:val="007D7BD7"/>
    <w:rsid w:val="007E01B2"/>
    <w:rsid w:val="007E1142"/>
    <w:rsid w:val="007E2D0B"/>
    <w:rsid w:val="007E5DD5"/>
    <w:rsid w:val="007F033D"/>
    <w:rsid w:val="007F4190"/>
    <w:rsid w:val="007F47F5"/>
    <w:rsid w:val="008014DE"/>
    <w:rsid w:val="00801732"/>
    <w:rsid w:val="00805A62"/>
    <w:rsid w:val="008075D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7618"/>
    <w:rsid w:val="008C786C"/>
    <w:rsid w:val="008F22BD"/>
    <w:rsid w:val="0090163E"/>
    <w:rsid w:val="0090697F"/>
    <w:rsid w:val="00906C0D"/>
    <w:rsid w:val="00910D26"/>
    <w:rsid w:val="00915801"/>
    <w:rsid w:val="009433D4"/>
    <w:rsid w:val="00944582"/>
    <w:rsid w:val="009471CD"/>
    <w:rsid w:val="00952A07"/>
    <w:rsid w:val="00957B47"/>
    <w:rsid w:val="009615CF"/>
    <w:rsid w:val="00965F94"/>
    <w:rsid w:val="009662AA"/>
    <w:rsid w:val="00967CC3"/>
    <w:rsid w:val="00973936"/>
    <w:rsid w:val="00986C40"/>
    <w:rsid w:val="0098711A"/>
    <w:rsid w:val="009979A6"/>
    <w:rsid w:val="009A0BD8"/>
    <w:rsid w:val="009C10A0"/>
    <w:rsid w:val="009C2B01"/>
    <w:rsid w:val="009D3608"/>
    <w:rsid w:val="009D456C"/>
    <w:rsid w:val="009E1BD3"/>
    <w:rsid w:val="009F435C"/>
    <w:rsid w:val="00A00EF3"/>
    <w:rsid w:val="00A45E54"/>
    <w:rsid w:val="00A46BA2"/>
    <w:rsid w:val="00A5253D"/>
    <w:rsid w:val="00A67C23"/>
    <w:rsid w:val="00A74FA1"/>
    <w:rsid w:val="00AA1B22"/>
    <w:rsid w:val="00AA70FB"/>
    <w:rsid w:val="00AA73B9"/>
    <w:rsid w:val="00AB1918"/>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15117"/>
    <w:rsid w:val="00B2111F"/>
    <w:rsid w:val="00B27575"/>
    <w:rsid w:val="00B373BE"/>
    <w:rsid w:val="00B414CB"/>
    <w:rsid w:val="00B420F4"/>
    <w:rsid w:val="00B42ED8"/>
    <w:rsid w:val="00B50FBF"/>
    <w:rsid w:val="00B54F62"/>
    <w:rsid w:val="00B714AF"/>
    <w:rsid w:val="00B74E1E"/>
    <w:rsid w:val="00B81621"/>
    <w:rsid w:val="00B816A9"/>
    <w:rsid w:val="00BC24A8"/>
    <w:rsid w:val="00BC7C2B"/>
    <w:rsid w:val="00BF4F9D"/>
    <w:rsid w:val="00C00354"/>
    <w:rsid w:val="00C23BFE"/>
    <w:rsid w:val="00C36BCB"/>
    <w:rsid w:val="00C40D58"/>
    <w:rsid w:val="00C43B96"/>
    <w:rsid w:val="00C44036"/>
    <w:rsid w:val="00C45606"/>
    <w:rsid w:val="00C5084A"/>
    <w:rsid w:val="00C634A7"/>
    <w:rsid w:val="00C6550D"/>
    <w:rsid w:val="00C760C8"/>
    <w:rsid w:val="00C80621"/>
    <w:rsid w:val="00C849C8"/>
    <w:rsid w:val="00C850E0"/>
    <w:rsid w:val="00C93B45"/>
    <w:rsid w:val="00C952C0"/>
    <w:rsid w:val="00CA7CD3"/>
    <w:rsid w:val="00CB73C0"/>
    <w:rsid w:val="00CB744B"/>
    <w:rsid w:val="00CC152D"/>
    <w:rsid w:val="00CC3DCA"/>
    <w:rsid w:val="00CD46CB"/>
    <w:rsid w:val="00CD4A21"/>
    <w:rsid w:val="00CE4019"/>
    <w:rsid w:val="00CE4AFE"/>
    <w:rsid w:val="00CE736E"/>
    <w:rsid w:val="00CF13E1"/>
    <w:rsid w:val="00D117C4"/>
    <w:rsid w:val="00D13015"/>
    <w:rsid w:val="00D13C0F"/>
    <w:rsid w:val="00D306F5"/>
    <w:rsid w:val="00D3188E"/>
    <w:rsid w:val="00D32B9E"/>
    <w:rsid w:val="00D34063"/>
    <w:rsid w:val="00D406CE"/>
    <w:rsid w:val="00D62743"/>
    <w:rsid w:val="00D62BCA"/>
    <w:rsid w:val="00D64A83"/>
    <w:rsid w:val="00D65BFC"/>
    <w:rsid w:val="00D7352E"/>
    <w:rsid w:val="00D801A5"/>
    <w:rsid w:val="00D80C8B"/>
    <w:rsid w:val="00D83452"/>
    <w:rsid w:val="00D83C4C"/>
    <w:rsid w:val="00D92396"/>
    <w:rsid w:val="00D92A43"/>
    <w:rsid w:val="00D97A4C"/>
    <w:rsid w:val="00DA6E5A"/>
    <w:rsid w:val="00DA79E6"/>
    <w:rsid w:val="00DD410F"/>
    <w:rsid w:val="00DD6192"/>
    <w:rsid w:val="00DD6611"/>
    <w:rsid w:val="00DE2251"/>
    <w:rsid w:val="00E12704"/>
    <w:rsid w:val="00E12E9E"/>
    <w:rsid w:val="00E156B9"/>
    <w:rsid w:val="00E16224"/>
    <w:rsid w:val="00E24495"/>
    <w:rsid w:val="00E3048C"/>
    <w:rsid w:val="00E3324D"/>
    <w:rsid w:val="00E4053F"/>
    <w:rsid w:val="00E52761"/>
    <w:rsid w:val="00E546C5"/>
    <w:rsid w:val="00E652A8"/>
    <w:rsid w:val="00E77B85"/>
    <w:rsid w:val="00E87672"/>
    <w:rsid w:val="00E87824"/>
    <w:rsid w:val="00E87A17"/>
    <w:rsid w:val="00E902F3"/>
    <w:rsid w:val="00EA2E64"/>
    <w:rsid w:val="00EC5C05"/>
    <w:rsid w:val="00EC7286"/>
    <w:rsid w:val="00ED2DC7"/>
    <w:rsid w:val="00ED2F21"/>
    <w:rsid w:val="00EE3904"/>
    <w:rsid w:val="00EF012D"/>
    <w:rsid w:val="00EF36FF"/>
    <w:rsid w:val="00EF400A"/>
    <w:rsid w:val="00EF51AB"/>
    <w:rsid w:val="00EF5992"/>
    <w:rsid w:val="00F00050"/>
    <w:rsid w:val="00F051BE"/>
    <w:rsid w:val="00F058E8"/>
    <w:rsid w:val="00F06071"/>
    <w:rsid w:val="00F1333E"/>
    <w:rsid w:val="00F20568"/>
    <w:rsid w:val="00F208D2"/>
    <w:rsid w:val="00F26DBA"/>
    <w:rsid w:val="00F3010E"/>
    <w:rsid w:val="00F42C00"/>
    <w:rsid w:val="00F453D2"/>
    <w:rsid w:val="00F4718F"/>
    <w:rsid w:val="00F504E2"/>
    <w:rsid w:val="00F514D9"/>
    <w:rsid w:val="00F52B10"/>
    <w:rsid w:val="00F635AA"/>
    <w:rsid w:val="00F72A18"/>
    <w:rsid w:val="00FA1F05"/>
    <w:rsid w:val="00FA4B17"/>
    <w:rsid w:val="00FA5746"/>
    <w:rsid w:val="00FA667C"/>
    <w:rsid w:val="00FA7ABE"/>
    <w:rsid w:val="00FB7E83"/>
    <w:rsid w:val="00FC65B7"/>
    <w:rsid w:val="00FD0A03"/>
    <w:rsid w:val="00FD28F4"/>
    <w:rsid w:val="00FD522B"/>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Elissa Jaw</cp:lastModifiedBy>
  <cp:revision>2</cp:revision>
  <dcterms:created xsi:type="dcterms:W3CDTF">2022-01-19T00:37:00Z</dcterms:created>
  <dcterms:modified xsi:type="dcterms:W3CDTF">2022-01-19T00:37:00Z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