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073426"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14:paraId="200C4A14" w14:textId="77777777" w:rsidTr="0047187E">
        <w:tc>
          <w:tcPr>
            <w:tcW w:w="9926" w:type="dxa"/>
            <w:gridSpan w:val="3"/>
            <w:tcBorders>
              <w:bottom w:val="single" w:sz="4" w:space="0" w:color="auto"/>
            </w:tcBorders>
            <w:shd w:val="clear" w:color="auto" w:fill="E2EFD9" w:themeFill="accent6" w:themeFillTint="33"/>
          </w:tcPr>
          <w:p w14:paraId="26C33D32" w14:textId="77777777" w:rsidR="000D2DF2" w:rsidRPr="000D2DF2" w:rsidRDefault="000D2DF2" w:rsidP="000D2DF2">
            <w:pPr>
              <w:spacing w:before="100" w:beforeAutospacing="1" w:after="100" w:afterAutospacing="1"/>
            </w:pPr>
            <w:r w:rsidRPr="000D2DF2">
              <w:t>Our mission in the Berkeley City College Mathematics Department is to ensure that every student graduates, transfers or progresses into a career as a disciplined, literate and ethical individual, proficient at using mathematics and quantitative reasoning appropriately to analyze and solve complex problems in the real world.</w:t>
            </w:r>
          </w:p>
          <w:p w14:paraId="2B0F5E64" w14:textId="77777777" w:rsidR="000D2DF2" w:rsidRPr="000D2DF2" w:rsidRDefault="000D2DF2" w:rsidP="000D2DF2">
            <w:pPr>
              <w:spacing w:before="100" w:beforeAutospacing="1" w:after="100" w:afterAutospacing="1"/>
            </w:pPr>
            <w:r w:rsidRPr="000D2DF2">
              <w:t>Berkeley City College offers an extensive list of math courses in a variety of formats and times throughout the day to help fit the life and learning styles of all our students.</w:t>
            </w:r>
          </w:p>
          <w:p w14:paraId="2B240624" w14:textId="46F8AE9D" w:rsidR="00241CB8" w:rsidRPr="000D2DF2" w:rsidRDefault="000D2DF2" w:rsidP="000D2DF2">
            <w:pPr>
              <w:spacing w:before="100" w:beforeAutospacing="1" w:after="100" w:afterAutospacing="1"/>
            </w:pPr>
            <w:r w:rsidRPr="000D2DF2">
              <w:t xml:space="preserve">We are very pleased to offer the </w:t>
            </w:r>
            <w:hyperlink r:id="rId13" w:tgtFrame="_blank" w:history="1">
              <w:r w:rsidRPr="000D2DF2">
                <w:rPr>
                  <w:color w:val="0000FF"/>
                  <w:u w:val="single"/>
                </w:rPr>
                <w:t>Associate in Science Degree for Transfer (AS-T)</w:t>
              </w:r>
            </w:hyperlink>
            <w:r w:rsidRPr="000D2DF2">
              <w:t>. Upon completion of the AS-T in mathematics, students may transfer to California State University (CSU) system. Completion of the sequence of math courses in the AS-T satisfies the math requirements for transfer to the University of California system (UC) into the mathematics major.</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0C4DDCDE" w14:textId="1E393DBC" w:rsidR="00E66C4E" w:rsidRPr="00BF4F9D" w:rsidRDefault="000D2DF2" w:rsidP="000D2DF2">
            <w:pPr>
              <w:pStyle w:val="NoSpacing"/>
              <w:rPr>
                <w:rFonts w:ascii="Helvetica Neue" w:hAnsi="Helvetica Neue"/>
                <w:color w:val="FFFFFF" w:themeColor="background1"/>
              </w:rPr>
            </w:pPr>
            <w:r w:rsidRPr="000D2DF2">
              <w:rPr>
                <w:rFonts w:ascii="Helvetica Neue" w:hAnsi="Helvetica Neue"/>
              </w:rPr>
              <w:t>Claudia Abadia</w:t>
            </w:r>
          </w:p>
        </w:tc>
        <w:tc>
          <w:tcPr>
            <w:tcW w:w="2862" w:type="dxa"/>
            <w:shd w:val="clear" w:color="auto" w:fill="FFF2CC" w:themeFill="accent4" w:themeFillTint="33"/>
            <w:vAlign w:val="bottom"/>
          </w:tcPr>
          <w:p w14:paraId="221EEE64" w14:textId="12C613FD" w:rsidR="00AC3850" w:rsidRPr="000D2DF2" w:rsidRDefault="000D2DF2" w:rsidP="000D2DF2">
            <w:pPr>
              <w:pStyle w:val="NoSpacing"/>
              <w:rPr>
                <w:rFonts w:ascii="Helvetica Neue" w:hAnsi="Helvetica Neue"/>
              </w:rPr>
            </w:pPr>
            <w:r>
              <w:rPr>
                <w:rFonts w:ascii="Helvetica Neue" w:hAnsi="Helvetica Neue"/>
              </w:rPr>
              <w:t>Math</w:t>
            </w: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7C55DBA6" w14:textId="35AC1DBE" w:rsidR="00C634A7" w:rsidRDefault="00E66C4E" w:rsidP="00BF4F9D">
            <w:pPr>
              <w:pStyle w:val="NoSpacing"/>
              <w:rPr>
                <w:rFonts w:ascii="Helvetica Neue" w:hAnsi="Helvetica Neue"/>
              </w:rPr>
            </w:pPr>
            <w:r>
              <w:rPr>
                <w:rFonts w:ascii="Helvetica Neue" w:hAnsi="Helvetica Neue"/>
              </w:rPr>
              <w:t>Claudia Abadia</w:t>
            </w:r>
          </w:p>
          <w:p w14:paraId="26FDCF0D" w14:textId="72C8F582" w:rsidR="00E66C4E" w:rsidRDefault="00E66C4E" w:rsidP="00BF4F9D">
            <w:pPr>
              <w:pStyle w:val="NoSpacing"/>
              <w:rPr>
                <w:rFonts w:ascii="Helvetica Neue" w:hAnsi="Helvetica Neue"/>
              </w:rPr>
            </w:pPr>
            <w:r>
              <w:rPr>
                <w:rFonts w:ascii="Helvetica Neue" w:hAnsi="Helvetica Neue"/>
              </w:rPr>
              <w:t>Salvador Garcia</w:t>
            </w:r>
          </w:p>
          <w:p w14:paraId="5019CFA0" w14:textId="6598155F" w:rsidR="00E66C4E" w:rsidRDefault="00E66C4E" w:rsidP="00BF4F9D">
            <w:pPr>
              <w:pStyle w:val="NoSpacing"/>
              <w:rPr>
                <w:rFonts w:ascii="Helvetica Neue" w:hAnsi="Helvetica Neue"/>
              </w:rPr>
            </w:pPr>
            <w:r>
              <w:rPr>
                <w:rFonts w:ascii="Helvetica Neue" w:hAnsi="Helvetica Neue"/>
              </w:rPr>
              <w:t>Shawn McDougal</w:t>
            </w:r>
          </w:p>
          <w:p w14:paraId="1678D925" w14:textId="5DB7281E" w:rsidR="00E66C4E" w:rsidRDefault="00E66C4E" w:rsidP="00BF4F9D">
            <w:pPr>
              <w:pStyle w:val="NoSpacing"/>
              <w:rPr>
                <w:rFonts w:ascii="Helvetica Neue" w:hAnsi="Helvetica Neue"/>
              </w:rPr>
            </w:pPr>
            <w:r>
              <w:rPr>
                <w:rFonts w:ascii="Helvetica Neue" w:hAnsi="Helvetica Neue"/>
              </w:rPr>
              <w:t>Michael Orkin</w:t>
            </w:r>
          </w:p>
          <w:p w14:paraId="6555942F" w14:textId="6DCAF86D" w:rsidR="00E66C4E" w:rsidRDefault="00E66C4E" w:rsidP="00BF4F9D">
            <w:pPr>
              <w:pStyle w:val="NoSpacing"/>
              <w:rPr>
                <w:rFonts w:ascii="Helvetica Neue" w:hAnsi="Helvetica Neue"/>
              </w:rPr>
            </w:pPr>
            <w:r>
              <w:rPr>
                <w:rFonts w:ascii="Helvetica Neue" w:hAnsi="Helvetica Neue"/>
              </w:rPr>
              <w:t>Kelly Pernell</w:t>
            </w:r>
          </w:p>
          <w:p w14:paraId="7AB167D5" w14:textId="6D949AF2" w:rsidR="00E66C4E" w:rsidRDefault="00E66C4E" w:rsidP="00BF4F9D">
            <w:pPr>
              <w:pStyle w:val="NoSpacing"/>
              <w:rPr>
                <w:rFonts w:ascii="Helvetica Neue" w:hAnsi="Helvetica Neue"/>
              </w:rPr>
            </w:pPr>
            <w:r>
              <w:rPr>
                <w:rFonts w:ascii="Helvetica Neue" w:hAnsi="Helvetica Neue"/>
              </w:rPr>
              <w:t>Mark Rinker</w:t>
            </w:r>
          </w:p>
          <w:p w14:paraId="79091A17" w14:textId="69D9B9F6" w:rsidR="00E66C4E" w:rsidRDefault="00E66C4E" w:rsidP="00BF4F9D">
            <w:pPr>
              <w:pStyle w:val="NoSpacing"/>
              <w:rPr>
                <w:rFonts w:ascii="Helvetica Neue" w:hAnsi="Helvetica Neue"/>
              </w:rPr>
            </w:pPr>
            <w:r>
              <w:rPr>
                <w:rFonts w:ascii="Helvetica Neue" w:hAnsi="Helvetica Neue"/>
              </w:rPr>
              <w:t>Rick Wing</w:t>
            </w:r>
          </w:p>
          <w:p w14:paraId="049756DB" w14:textId="22E293E7" w:rsidR="00E66C4E" w:rsidRPr="007335EF" w:rsidRDefault="00E66C4E" w:rsidP="00BF4F9D">
            <w:pPr>
              <w:pStyle w:val="NoSpacing"/>
              <w:rPr>
                <w:rFonts w:ascii="Helvetica Neue" w:hAnsi="Helvetica Neue"/>
              </w:rPr>
            </w:pPr>
            <w:r>
              <w:rPr>
                <w:rFonts w:ascii="Helvetica Neue" w:hAnsi="Helvetica Neue"/>
              </w:rPr>
              <w:t>Dmitriy Zhiv</w:t>
            </w:r>
          </w:p>
        </w:tc>
        <w:tc>
          <w:tcPr>
            <w:tcW w:w="4963" w:type="dxa"/>
            <w:gridSpan w:val="2"/>
            <w:tcBorders>
              <w:top w:val="single" w:sz="4" w:space="0" w:color="auto"/>
            </w:tcBorders>
            <w:shd w:val="clear" w:color="auto" w:fill="FFF2CC" w:themeFill="accent4" w:themeFillTint="33"/>
            <w:vAlign w:val="bottom"/>
          </w:tcPr>
          <w:p w14:paraId="4DD00737" w14:textId="5B965CB9" w:rsidR="00E66C4E" w:rsidRDefault="00E66C4E" w:rsidP="00BF4F9D">
            <w:pPr>
              <w:pStyle w:val="NoSpacing"/>
              <w:rPr>
                <w:rFonts w:ascii="Helvetica Neue" w:hAnsi="Helvetica Neue"/>
              </w:rPr>
            </w:pPr>
            <w:r>
              <w:rPr>
                <w:rFonts w:ascii="Helvetica Neue" w:hAnsi="Helvetica Neue"/>
              </w:rPr>
              <w:t>Naima Azgui</w:t>
            </w:r>
          </w:p>
          <w:p w14:paraId="32700185" w14:textId="61EF47D8" w:rsidR="00E66C4E" w:rsidRDefault="00E66C4E" w:rsidP="00BF4F9D">
            <w:pPr>
              <w:pStyle w:val="NoSpacing"/>
              <w:rPr>
                <w:rFonts w:ascii="Helvetica Neue" w:hAnsi="Helvetica Neue"/>
              </w:rPr>
            </w:pPr>
            <w:r>
              <w:rPr>
                <w:rFonts w:ascii="Helvetica Neue" w:hAnsi="Helvetica Neue"/>
              </w:rPr>
              <w:t>Lloyd Bland</w:t>
            </w:r>
          </w:p>
          <w:p w14:paraId="33D0569D" w14:textId="5B3D56A3" w:rsidR="00C634A7" w:rsidRDefault="00E66C4E" w:rsidP="00BF4F9D">
            <w:pPr>
              <w:pStyle w:val="NoSpacing"/>
              <w:rPr>
                <w:rFonts w:ascii="Helvetica Neue" w:hAnsi="Helvetica Neue"/>
              </w:rPr>
            </w:pPr>
            <w:r>
              <w:rPr>
                <w:rFonts w:ascii="Helvetica Neue" w:hAnsi="Helvetica Neue"/>
              </w:rPr>
              <w:t>Elizabeth Chemouni</w:t>
            </w:r>
          </w:p>
          <w:p w14:paraId="5B31A2B9" w14:textId="5A2E258F" w:rsidR="00E66C4E" w:rsidRDefault="00E66C4E" w:rsidP="00BF4F9D">
            <w:pPr>
              <w:pStyle w:val="NoSpacing"/>
              <w:rPr>
                <w:rFonts w:ascii="Helvetica Neue" w:hAnsi="Helvetica Neue"/>
              </w:rPr>
            </w:pPr>
            <w:r>
              <w:rPr>
                <w:rFonts w:ascii="Helvetica Neue" w:hAnsi="Helvetica Neue"/>
              </w:rPr>
              <w:t>Arash Farahmand</w:t>
            </w:r>
          </w:p>
          <w:p w14:paraId="066019FD" w14:textId="3FC39E67" w:rsidR="00E66C4E" w:rsidRDefault="00E66C4E" w:rsidP="00BF4F9D">
            <w:pPr>
              <w:pStyle w:val="NoSpacing"/>
              <w:rPr>
                <w:rFonts w:ascii="Helvetica Neue" w:hAnsi="Helvetica Neue"/>
              </w:rPr>
            </w:pPr>
            <w:r>
              <w:rPr>
                <w:rFonts w:ascii="Helvetica Neue" w:hAnsi="Helvetica Neue"/>
              </w:rPr>
              <w:t>Latha Gopinath</w:t>
            </w:r>
          </w:p>
          <w:p w14:paraId="396B7345" w14:textId="5E4246B2" w:rsidR="00E66C4E" w:rsidRDefault="00E66C4E" w:rsidP="00BF4F9D">
            <w:pPr>
              <w:pStyle w:val="NoSpacing"/>
              <w:rPr>
                <w:rFonts w:ascii="Helvetica Neue" w:hAnsi="Helvetica Neue"/>
              </w:rPr>
            </w:pPr>
            <w:r>
              <w:rPr>
                <w:rFonts w:ascii="Helvetica Neue" w:hAnsi="Helvetica Neue"/>
              </w:rPr>
              <w:t>Fan Ching Kuo</w:t>
            </w:r>
          </w:p>
          <w:p w14:paraId="2F9F08F6" w14:textId="344C2745" w:rsidR="00E66C4E" w:rsidRDefault="00E66C4E" w:rsidP="00BF4F9D">
            <w:pPr>
              <w:pStyle w:val="NoSpacing"/>
              <w:rPr>
                <w:rFonts w:ascii="Helvetica Neue" w:hAnsi="Helvetica Neue"/>
              </w:rPr>
            </w:pPr>
            <w:r>
              <w:rPr>
                <w:rFonts w:ascii="Helvetica Neue" w:hAnsi="Helvetica Neue"/>
              </w:rPr>
              <w:t>Daniel Najjar</w:t>
            </w:r>
          </w:p>
          <w:p w14:paraId="688B4FD7" w14:textId="3D109B8D" w:rsidR="007E075D" w:rsidRDefault="007E075D" w:rsidP="00BF4F9D">
            <w:pPr>
              <w:pStyle w:val="NoSpacing"/>
              <w:rPr>
                <w:rFonts w:ascii="Helvetica Neue" w:hAnsi="Helvetica Neue"/>
              </w:rPr>
            </w:pPr>
            <w:r>
              <w:rPr>
                <w:rFonts w:ascii="Helvetica Neue" w:hAnsi="Helvetica Neue"/>
              </w:rPr>
              <w:t>Eugene Russakovskii</w:t>
            </w:r>
          </w:p>
          <w:p w14:paraId="56AEAC90" w14:textId="0688C9EC" w:rsidR="00E66C4E" w:rsidRDefault="00E66C4E" w:rsidP="00BF4F9D">
            <w:pPr>
              <w:pStyle w:val="NoSpacing"/>
              <w:rPr>
                <w:rFonts w:ascii="Helvetica Neue" w:hAnsi="Helvetica Neue"/>
              </w:rPr>
            </w:pPr>
            <w:r>
              <w:rPr>
                <w:rFonts w:ascii="Helvetica Neue" w:hAnsi="Helvetica Neue"/>
              </w:rPr>
              <w:lastRenderedPageBreak/>
              <w:t>Gaston Sanchez Trujillo</w:t>
            </w:r>
          </w:p>
          <w:p w14:paraId="48B709EC" w14:textId="395301A1" w:rsidR="00E66C4E" w:rsidRDefault="00E66C4E" w:rsidP="00BF4F9D">
            <w:pPr>
              <w:pStyle w:val="NoSpacing"/>
              <w:rPr>
                <w:rFonts w:ascii="Helvetica Neue" w:hAnsi="Helvetica Neue"/>
              </w:rPr>
            </w:pPr>
            <w:r>
              <w:rPr>
                <w:rFonts w:ascii="Helvetica Neue" w:hAnsi="Helvetica Neue"/>
              </w:rPr>
              <w:t>Mei Tsai</w:t>
            </w:r>
          </w:p>
          <w:p w14:paraId="2CCC0B8B" w14:textId="4C8EDFC1" w:rsidR="00E66C4E" w:rsidRPr="007335EF" w:rsidRDefault="00E66C4E"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21A80D04" w14:textId="74A776E8"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073426" w:rsidP="00D34063">
            <w:pPr>
              <w:pStyle w:val="NoSpacing"/>
              <w:rPr>
                <w:rFonts w:ascii="Helvetica Neue" w:hAnsi="Helvetica Neue"/>
              </w:rPr>
            </w:pPr>
            <w:hyperlink r:id="rId14"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5"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6">
              <w:r w:rsidRPr="0026425B">
                <w:rPr>
                  <w:rStyle w:val="Hyperlink"/>
                  <w:rFonts w:ascii="Helvetica Neue" w:eastAsia="Avenir" w:hAnsi="Helvetica Neue" w:cs="Avenir"/>
                  <w:b/>
                  <w:bCs/>
                  <w:color w:val="0070C0"/>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6C2A4B2A" w14:textId="77777777" w:rsidR="00D32B9E" w:rsidRDefault="00EA12B6" w:rsidP="00EE3904">
            <w:pPr>
              <w:rPr>
                <w:rFonts w:ascii="Helvetica Neue" w:hAnsi="Helvetica Neue"/>
                <w:sz w:val="22"/>
                <w:szCs w:val="22"/>
              </w:rPr>
            </w:pPr>
            <w:r>
              <w:rPr>
                <w:rFonts w:ascii="Helvetica Neue" w:hAnsi="Helvetica Neue"/>
                <w:sz w:val="22"/>
                <w:szCs w:val="22"/>
              </w:rPr>
              <w:t xml:space="preserve">Over the past three years enrollment has declined in Math.  The department has seen a reduction in </w:t>
            </w:r>
            <w:r w:rsidR="005D65AD">
              <w:rPr>
                <w:rFonts w:ascii="Helvetica Neue" w:hAnsi="Helvetica Neue"/>
                <w:sz w:val="22"/>
                <w:szCs w:val="22"/>
              </w:rPr>
              <w:t>the number of sections offered.  Part of this can b</w:t>
            </w:r>
            <w:r w:rsidR="00225BDB">
              <w:rPr>
                <w:rFonts w:ascii="Helvetica Neue" w:hAnsi="Helvetica Neue"/>
                <w:sz w:val="22"/>
                <w:szCs w:val="22"/>
              </w:rPr>
              <w:t>e attributed to AB705 and the COVID-19 pandemic.</w:t>
            </w:r>
          </w:p>
          <w:p w14:paraId="45B5C8BA" w14:textId="3066A08F" w:rsidR="00225BDB" w:rsidRPr="007335EF" w:rsidRDefault="00225BDB"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3E30A3F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tc>
      </w:tr>
      <w:tr w:rsidR="00444ED8" w:rsidRPr="00EC7286" w14:paraId="76F18448" w14:textId="77777777" w:rsidTr="0047187E">
        <w:tc>
          <w:tcPr>
            <w:tcW w:w="9926" w:type="dxa"/>
            <w:gridSpan w:val="3"/>
            <w:shd w:val="clear" w:color="auto" w:fill="E2EFD9" w:themeFill="accent6" w:themeFillTint="33"/>
          </w:tcPr>
          <w:p w14:paraId="4DCBF097" w14:textId="77777777" w:rsidR="0047187E" w:rsidRPr="0047187E" w:rsidRDefault="0047187E" w:rsidP="0047187E">
            <w:pPr>
              <w:ind w:left="360"/>
              <w:rPr>
                <w:rFonts w:ascii="Times" w:hAnsi="Times" w:cstheme="minorHAnsi"/>
                <w:i/>
                <w:iCs/>
                <w:color w:val="FF0000"/>
              </w:rPr>
            </w:pPr>
            <w:r w:rsidRPr="0047187E">
              <w:rPr>
                <w:rFonts w:ascii="Times" w:hAnsi="Times" w:cstheme="minorHAnsi"/>
                <w:i/>
                <w:iCs/>
                <w:color w:val="FF0000"/>
              </w:rPr>
              <w:t xml:space="preserve">Disaggregate the data and outcomes as far down as a possible then ask: </w:t>
            </w:r>
          </w:p>
          <w:p w14:paraId="23D9B7E2" w14:textId="77777777" w:rsidR="0047187E" w:rsidRPr="0047187E" w:rsidRDefault="0047187E" w:rsidP="0047187E">
            <w:pPr>
              <w:pStyle w:val="ListParagraph"/>
              <w:rPr>
                <w:rFonts w:ascii="Times" w:hAnsi="Times" w:cstheme="minorHAnsi"/>
                <w:i/>
                <w:iCs/>
                <w:color w:val="FF0000"/>
              </w:rPr>
            </w:pPr>
          </w:p>
          <w:p w14:paraId="72702992" w14:textId="77777777" w:rsidR="0047187E" w:rsidRPr="0047187E" w:rsidRDefault="0047187E" w:rsidP="0047187E">
            <w:pPr>
              <w:pStyle w:val="ListParagraph"/>
              <w:numPr>
                <w:ilvl w:val="1"/>
                <w:numId w:val="37"/>
              </w:numPr>
              <w:spacing w:after="0" w:line="240" w:lineRule="auto"/>
              <w:rPr>
                <w:rFonts w:ascii="Times" w:hAnsi="Times" w:cstheme="minorHAnsi"/>
                <w:i/>
                <w:iCs/>
                <w:color w:val="FF0000"/>
              </w:rPr>
            </w:pPr>
            <w:r w:rsidRPr="0047187E">
              <w:rPr>
                <w:rFonts w:ascii="Times" w:hAnsi="Times" w:cstheme="minorHAnsi"/>
                <w:i/>
                <w:iCs/>
                <w:color w:val="FF0000"/>
              </w:rPr>
              <w:t>What trends do you notice when examining course success rates for disproportionately impacted student populations? Which factors do you believe have the greatest impact (positive or negative) and cause variation between student course success rates between faculty in your department? Describe some specific methods your department/unit is planning or implementing to address these equity gaps. How will you evaluate the efficacy of these interventions?</w:t>
            </w:r>
          </w:p>
          <w:p w14:paraId="53F7C963" w14:textId="77777777" w:rsidR="0047187E" w:rsidRPr="0047187E" w:rsidRDefault="0047187E" w:rsidP="0047187E">
            <w:pPr>
              <w:pStyle w:val="ListParagraph"/>
              <w:ind w:left="1440"/>
              <w:rPr>
                <w:rFonts w:ascii="Times" w:hAnsi="Times" w:cstheme="minorHAnsi"/>
                <w:i/>
                <w:iCs/>
                <w:color w:val="FF0000"/>
              </w:rPr>
            </w:pPr>
          </w:p>
          <w:p w14:paraId="63F5C4D6" w14:textId="77777777" w:rsidR="0047187E" w:rsidRPr="0047187E" w:rsidRDefault="0047187E" w:rsidP="0047187E">
            <w:pPr>
              <w:pStyle w:val="ListParagraph"/>
              <w:numPr>
                <w:ilvl w:val="1"/>
                <w:numId w:val="37"/>
              </w:numPr>
              <w:spacing w:after="0" w:line="240" w:lineRule="auto"/>
              <w:rPr>
                <w:rFonts w:ascii="Times" w:hAnsi="Times" w:cstheme="minorHAnsi"/>
                <w:i/>
                <w:iCs/>
                <w:color w:val="FF0000"/>
              </w:rPr>
            </w:pPr>
            <w:r w:rsidRPr="0047187E">
              <w:rPr>
                <w:rFonts w:ascii="Times" w:hAnsi="Times" w:cstheme="minorHAnsi"/>
                <w:i/>
                <w:iCs/>
                <w:color w:val="FF0000"/>
              </w:rPr>
              <w:t xml:space="preserve">How has pivoting to online instruction contributed to potential reductions in student success? Provide some specific examples of practices that faculty in your department have found ineffective in the online environment.  </w:t>
            </w:r>
          </w:p>
          <w:p w14:paraId="59A70180" w14:textId="2A6CB6DE" w:rsidR="00444ED8" w:rsidRPr="007335EF" w:rsidRDefault="00444ED8" w:rsidP="00EE3904">
            <w:pPr>
              <w:rPr>
                <w:rFonts w:ascii="Helvetica Neue" w:eastAsia="Avenir Black" w:hAnsi="Helvetica Neue" w:cs="Avenir Black"/>
                <w:b/>
                <w:bCs/>
                <w:sz w:val="22"/>
                <w:szCs w:val="22"/>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5CFDB816" w14:textId="6BDE4DDF" w:rsidR="000D087A" w:rsidRDefault="00E5593E" w:rsidP="00EE3904">
            <w:pPr>
              <w:rPr>
                <w:rFonts w:ascii="Helvetica Neue" w:hAnsi="Helvetica Neue"/>
                <w:sz w:val="22"/>
                <w:szCs w:val="22"/>
              </w:rPr>
            </w:pPr>
            <w:r>
              <w:rPr>
                <w:rFonts w:ascii="Helvetica Neue" w:hAnsi="Helvetica Neue"/>
                <w:sz w:val="22"/>
                <w:szCs w:val="22"/>
              </w:rPr>
              <w:t>Zoom Tutoring</w:t>
            </w:r>
          </w:p>
          <w:p w14:paraId="4A5E566D" w14:textId="2B4E7859" w:rsidR="00E5593E" w:rsidRPr="007335EF" w:rsidRDefault="00E5593E" w:rsidP="00EE3904">
            <w:pPr>
              <w:rPr>
                <w:rFonts w:ascii="Helvetica Neue" w:hAnsi="Helvetica Neue"/>
                <w:sz w:val="22"/>
                <w:szCs w:val="22"/>
              </w:rPr>
            </w:pPr>
            <w:r>
              <w:rPr>
                <w:rFonts w:ascii="Helvetica Neue" w:hAnsi="Helvetica Neue"/>
                <w:sz w:val="22"/>
                <w:szCs w:val="22"/>
              </w:rPr>
              <w:t>Proper Mix of class modalities</w:t>
            </w:r>
          </w:p>
          <w:p w14:paraId="684F20FC" w14:textId="74FB050D"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3EB16540" w14:textId="3982C937" w:rsidR="000D087A" w:rsidRPr="007335EF" w:rsidRDefault="00E5593E" w:rsidP="00EE3904">
            <w:pPr>
              <w:rPr>
                <w:rFonts w:ascii="Helvetica Neue" w:hAnsi="Helvetica Neue"/>
                <w:sz w:val="22"/>
                <w:szCs w:val="22"/>
              </w:rPr>
            </w:pPr>
            <w:r>
              <w:rPr>
                <w:rFonts w:ascii="Helvetica Neue" w:hAnsi="Helvetica Neue"/>
                <w:sz w:val="22"/>
                <w:szCs w:val="22"/>
              </w:rPr>
              <w:t>Dual enrollment with BHS and Berkeley Adult School</w:t>
            </w:r>
          </w:p>
        </w:tc>
        <w:tc>
          <w:tcPr>
            <w:tcW w:w="3309" w:type="dxa"/>
            <w:shd w:val="clear" w:color="auto" w:fill="FFF2CC" w:themeFill="accent4" w:themeFillTint="33"/>
          </w:tcPr>
          <w:p w14:paraId="36860BD6" w14:textId="088E47EE" w:rsidR="000D087A" w:rsidRPr="007335EF" w:rsidRDefault="00E5593E" w:rsidP="00EE3904">
            <w:pPr>
              <w:rPr>
                <w:rFonts w:ascii="Helvetica Neue" w:hAnsi="Helvetica Neue"/>
                <w:sz w:val="22"/>
                <w:szCs w:val="22"/>
              </w:rPr>
            </w:pPr>
            <w:r>
              <w:rPr>
                <w:rFonts w:ascii="Helvetica Neue" w:hAnsi="Helvetica Neue"/>
                <w:sz w:val="22"/>
                <w:szCs w:val="22"/>
              </w:rPr>
              <w:t>More intentional scheduling to support BCC learning com</w:t>
            </w:r>
            <w:r w:rsidR="00011FFF">
              <w:rPr>
                <w:rFonts w:ascii="Helvetica Neue" w:hAnsi="Helvetica Neue"/>
                <w:sz w:val="22"/>
                <w:szCs w:val="22"/>
              </w:rPr>
              <w:t>munities like UMOJA and Puente.</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3E7F8A9C" w14:textId="6CABFC3D" w:rsidR="00F71C75" w:rsidRPr="007335EF" w:rsidRDefault="005B7EC0" w:rsidP="00EE3904">
            <w:pPr>
              <w:rPr>
                <w:rFonts w:ascii="Helvetica Neue" w:hAnsi="Helvetica Neue"/>
                <w:sz w:val="22"/>
                <w:szCs w:val="22"/>
              </w:rPr>
            </w:pPr>
            <w:r>
              <w:rPr>
                <w:rFonts w:ascii="Helvetica Neue" w:hAnsi="Helvetica Neue"/>
                <w:sz w:val="22"/>
                <w:szCs w:val="22"/>
              </w:rPr>
              <w:t>Survey student</w:t>
            </w:r>
            <w:r w:rsidR="00296B59">
              <w:rPr>
                <w:rFonts w:ascii="Helvetica Neue" w:hAnsi="Helvetica Neue"/>
                <w:sz w:val="22"/>
                <w:szCs w:val="22"/>
              </w:rPr>
              <w:t>s to see what the best mode of i</w:t>
            </w:r>
            <w:r w:rsidR="00F6760C">
              <w:rPr>
                <w:rFonts w:ascii="Helvetica Neue" w:hAnsi="Helvetica Neue"/>
                <w:sz w:val="22"/>
                <w:szCs w:val="22"/>
              </w:rPr>
              <w:t xml:space="preserve">nstruction </w:t>
            </w:r>
            <w:r>
              <w:rPr>
                <w:rFonts w:ascii="Helvetica Neue" w:hAnsi="Helvetica Neue"/>
                <w:sz w:val="22"/>
                <w:szCs w:val="22"/>
              </w:rPr>
              <w:t>fit</w:t>
            </w:r>
            <w:r w:rsidR="00F6760C">
              <w:rPr>
                <w:rFonts w:ascii="Helvetica Neue" w:hAnsi="Helvetica Neue"/>
                <w:sz w:val="22"/>
                <w:szCs w:val="22"/>
              </w:rPr>
              <w:t>s</w:t>
            </w:r>
            <w:r>
              <w:rPr>
                <w:rFonts w:ascii="Helvetica Neue" w:hAnsi="Helvetica Neue"/>
                <w:sz w:val="22"/>
                <w:szCs w:val="22"/>
              </w:rPr>
              <w:t xml:space="preserve"> student need</w:t>
            </w:r>
            <w:r w:rsidR="00F6760C">
              <w:rPr>
                <w:rFonts w:ascii="Helvetica Neue" w:hAnsi="Helvetica Neue"/>
                <w:sz w:val="22"/>
                <w:szCs w:val="22"/>
              </w:rPr>
              <w:t xml:space="preserve"> that also ensure student success. </w:t>
            </w:r>
            <w:r>
              <w:rPr>
                <w:rFonts w:ascii="Helvetica Neue" w:hAnsi="Helvetica Neue"/>
                <w:sz w:val="22"/>
                <w:szCs w:val="22"/>
              </w:rPr>
              <w:t xml:space="preserve"> We need to offer all the classes needed for the Math ADT.  If we had a degree audit program</w:t>
            </w:r>
            <w:r w:rsidR="00296B59">
              <w:rPr>
                <w:rFonts w:ascii="Helvetica Neue" w:hAnsi="Helvetica Neue"/>
                <w:sz w:val="22"/>
                <w:szCs w:val="22"/>
              </w:rPr>
              <w:t xml:space="preserve"> we co</w:t>
            </w:r>
            <w:r w:rsidR="00F6760C">
              <w:rPr>
                <w:rFonts w:ascii="Helvetica Neue" w:hAnsi="Helvetica Neue"/>
                <w:sz w:val="22"/>
                <w:szCs w:val="22"/>
              </w:rPr>
              <w:t>uld see what courses are needed in the future.</w:t>
            </w:r>
            <w:r w:rsidR="00F71C75">
              <w:rPr>
                <w:rFonts w:ascii="Helvetica Neue" w:hAnsi="Helvetica Neue"/>
                <w:sz w:val="22"/>
                <w:szCs w:val="22"/>
              </w:rPr>
              <w:t xml:space="preserve"> Perhaps,we should coordinate with Counseling, English, </w:t>
            </w:r>
            <w:r w:rsidR="00F71C75">
              <w:rPr>
                <w:rFonts w:ascii="Helvetica Neue" w:hAnsi="Helvetica Neue"/>
                <w:sz w:val="22"/>
                <w:szCs w:val="22"/>
              </w:rPr>
              <w:lastRenderedPageBreak/>
              <w:t>and ESOL departments to determine block schedules of English/ESOL and Math courses in mornings, afternoons, and online. This way, students may have an easier time planning a full time load of courses each term. We should also offer a few late start courses in Math 1 and Math 13 to catch students who may drop the first few weeks of classes because of a slow start. We may be able to retain them in a term if they can start again with a new section.</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7">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930DE">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8">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9"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54B3588C" w:rsidR="00106447" w:rsidRPr="00E5593E" w:rsidRDefault="00E5593E" w:rsidP="000930DE">
            <w:pPr>
              <w:rPr>
                <w:rFonts w:ascii="Helvetica Neue" w:eastAsia="Avenir" w:hAnsi="Helvetica Neue" w:cs="Avenir"/>
                <w:bCs/>
                <w:sz w:val="22"/>
                <w:szCs w:val="22"/>
              </w:rPr>
            </w:pPr>
            <w:r>
              <w:rPr>
                <w:rFonts w:ascii="Helvetica Neue" w:eastAsia="Avenir" w:hAnsi="Helvetica Neue" w:cs="Avenir"/>
                <w:bCs/>
                <w:sz w:val="22"/>
                <w:szCs w:val="22"/>
              </w:rPr>
              <w:t>From year to year it appears as if each ethnic group had a higher retention rate, with all ethnic groups increasing by approximately 5% (excepting the Pacific Islander group which showed a much larger increase due to the small sample size) . This may be due to the impact of Covid 19 and the zoom classes which allowed easy access for those with the proper software. However, it should be noted that (also due to Covid 19) enrollments were down across all four colleges of the Peralta Community College District.</w:t>
            </w:r>
          </w:p>
          <w:p w14:paraId="7E3C6841" w14:textId="576DF00D" w:rsidR="00106447" w:rsidRPr="00E5593E" w:rsidRDefault="00106447" w:rsidP="000930DE">
            <w:pPr>
              <w:rPr>
                <w:rFonts w:ascii="Helvetica Neue" w:eastAsia="Avenir" w:hAnsi="Helvetica Neue" w:cs="Avenir"/>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outcomes gains in your program area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1502D8F3" w:rsidR="00106447" w:rsidRPr="00E5593E" w:rsidRDefault="00E5593E" w:rsidP="000930DE">
            <w:pPr>
              <w:rPr>
                <w:rFonts w:ascii="Helvetica Neue" w:eastAsia="Avenir" w:hAnsi="Helvetica Neue" w:cs="Avenir"/>
                <w:bCs/>
                <w:sz w:val="22"/>
                <w:szCs w:val="22"/>
              </w:rPr>
            </w:pPr>
            <w:r w:rsidRPr="00E5593E">
              <w:rPr>
                <w:rFonts w:ascii="Helvetica Neue" w:eastAsia="Avenir" w:hAnsi="Helvetica Neue" w:cs="Avenir"/>
                <w:bCs/>
                <w:sz w:val="22"/>
                <w:szCs w:val="22"/>
              </w:rPr>
              <w:t>O</w:t>
            </w:r>
            <w:r>
              <w:rPr>
                <w:rFonts w:ascii="Helvetica Neue" w:eastAsia="Avenir" w:hAnsi="Helvetica Neue" w:cs="Avenir"/>
                <w:bCs/>
                <w:sz w:val="22"/>
                <w:szCs w:val="22"/>
              </w:rPr>
              <w:t xml:space="preserve">verall, every student group seemed to show a 5% increase in the retention rate (year to year). </w:t>
            </w:r>
          </w:p>
          <w:p w14:paraId="40F8D812" w14:textId="03F53357" w:rsidR="00106447" w:rsidRPr="00091285" w:rsidRDefault="00106447" w:rsidP="000930DE">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448A2C7" w14:textId="77777777" w:rsidR="00E963F8" w:rsidRPr="00E963F8" w:rsidRDefault="00E963F8" w:rsidP="00E963F8">
            <w:pPr>
              <w:rPr>
                <w:rFonts w:ascii="Helvetica Neue" w:eastAsia="Avenir" w:hAnsi="Helvetica Neue" w:cs="Avenir"/>
                <w:bCs/>
                <w:sz w:val="22"/>
                <w:szCs w:val="22"/>
              </w:rPr>
            </w:pPr>
            <w:r w:rsidRPr="00E963F8">
              <w:rPr>
                <w:rFonts w:ascii="Helvetica Neue" w:eastAsia="Avenir" w:hAnsi="Helvetica Neue" w:cs="Avenir"/>
                <w:bCs/>
                <w:sz w:val="22"/>
                <w:szCs w:val="22"/>
              </w:rPr>
              <w:t>BCC</w:t>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t xml:space="preserve">BCC Math </w:t>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r>
          </w:p>
          <w:p w14:paraId="61998A7A" w14:textId="77777777" w:rsidR="00E963F8" w:rsidRPr="00E963F8" w:rsidRDefault="00E963F8" w:rsidP="00E963F8">
            <w:pPr>
              <w:rPr>
                <w:rFonts w:ascii="Helvetica Neue" w:eastAsia="Avenir" w:hAnsi="Helvetica Neue" w:cs="Avenir"/>
                <w:bCs/>
                <w:sz w:val="22"/>
                <w:szCs w:val="22"/>
              </w:rPr>
            </w:pPr>
            <w:r w:rsidRPr="00E963F8">
              <w:rPr>
                <w:rFonts w:ascii="Helvetica Neue" w:eastAsia="Avenir" w:hAnsi="Helvetica Neue" w:cs="Avenir"/>
                <w:bCs/>
                <w:sz w:val="22"/>
                <w:szCs w:val="22"/>
              </w:rPr>
              <w:tab/>
              <w:t>Completion</w:t>
            </w:r>
            <w:r w:rsidRPr="00E963F8">
              <w:rPr>
                <w:rFonts w:ascii="Helvetica Neue" w:eastAsia="Avenir" w:hAnsi="Helvetica Neue" w:cs="Avenir"/>
                <w:bCs/>
                <w:sz w:val="22"/>
                <w:szCs w:val="22"/>
              </w:rPr>
              <w:tab/>
              <w:t>Retention</w:t>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t>Completion</w:t>
            </w:r>
            <w:r w:rsidRPr="00E963F8">
              <w:rPr>
                <w:rFonts w:ascii="Helvetica Neue" w:eastAsia="Avenir" w:hAnsi="Helvetica Neue" w:cs="Avenir"/>
                <w:bCs/>
                <w:sz w:val="22"/>
                <w:szCs w:val="22"/>
              </w:rPr>
              <w:tab/>
              <w:t>Retention</w:t>
            </w:r>
          </w:p>
          <w:p w14:paraId="5A625085" w14:textId="77777777" w:rsidR="00E963F8" w:rsidRPr="00E963F8" w:rsidRDefault="00E963F8" w:rsidP="00E963F8">
            <w:pPr>
              <w:rPr>
                <w:rFonts w:ascii="Helvetica Neue" w:eastAsia="Avenir" w:hAnsi="Helvetica Neue" w:cs="Avenir"/>
                <w:bCs/>
                <w:sz w:val="22"/>
                <w:szCs w:val="22"/>
              </w:rPr>
            </w:pPr>
            <w:r w:rsidRPr="00E963F8">
              <w:rPr>
                <w:rFonts w:ascii="Helvetica Neue" w:eastAsia="Avenir" w:hAnsi="Helvetica Neue" w:cs="Avenir"/>
                <w:bCs/>
                <w:sz w:val="22"/>
                <w:szCs w:val="22"/>
              </w:rPr>
              <w:t>2020-2021</w:t>
            </w:r>
            <w:r w:rsidRPr="00E963F8">
              <w:rPr>
                <w:rFonts w:ascii="Helvetica Neue" w:eastAsia="Avenir" w:hAnsi="Helvetica Neue" w:cs="Avenir"/>
                <w:bCs/>
                <w:sz w:val="22"/>
                <w:szCs w:val="22"/>
              </w:rPr>
              <w:tab/>
              <w:t>71</w:t>
            </w:r>
            <w:r w:rsidRPr="00E963F8">
              <w:rPr>
                <w:rFonts w:ascii="Helvetica Neue" w:eastAsia="Avenir" w:hAnsi="Helvetica Neue" w:cs="Avenir"/>
                <w:bCs/>
                <w:sz w:val="22"/>
                <w:szCs w:val="22"/>
              </w:rPr>
              <w:tab/>
              <w:t>85.3</w:t>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t>2020-2021</w:t>
            </w:r>
            <w:r w:rsidRPr="00E963F8">
              <w:rPr>
                <w:rFonts w:ascii="Helvetica Neue" w:eastAsia="Avenir" w:hAnsi="Helvetica Neue" w:cs="Avenir"/>
                <w:bCs/>
                <w:sz w:val="22"/>
                <w:szCs w:val="22"/>
              </w:rPr>
              <w:tab/>
              <w:t>68.3</w:t>
            </w:r>
            <w:r w:rsidRPr="00E963F8">
              <w:rPr>
                <w:rFonts w:ascii="Helvetica Neue" w:eastAsia="Avenir" w:hAnsi="Helvetica Neue" w:cs="Avenir"/>
                <w:bCs/>
                <w:sz w:val="22"/>
                <w:szCs w:val="22"/>
              </w:rPr>
              <w:tab/>
              <w:t>84</w:t>
            </w:r>
          </w:p>
          <w:p w14:paraId="08B7F53B" w14:textId="77777777" w:rsidR="00E963F8" w:rsidRPr="00E963F8" w:rsidRDefault="00E963F8" w:rsidP="00E963F8">
            <w:pPr>
              <w:rPr>
                <w:rFonts w:ascii="Helvetica Neue" w:eastAsia="Avenir" w:hAnsi="Helvetica Neue" w:cs="Avenir"/>
                <w:bCs/>
                <w:sz w:val="22"/>
                <w:szCs w:val="22"/>
              </w:rPr>
            </w:pPr>
            <w:r w:rsidRPr="00E963F8">
              <w:rPr>
                <w:rFonts w:ascii="Helvetica Neue" w:eastAsia="Avenir" w:hAnsi="Helvetica Neue" w:cs="Avenir"/>
                <w:bCs/>
                <w:sz w:val="22"/>
                <w:szCs w:val="22"/>
              </w:rPr>
              <w:t>2019-2020</w:t>
            </w:r>
            <w:r w:rsidRPr="00E963F8">
              <w:rPr>
                <w:rFonts w:ascii="Helvetica Neue" w:eastAsia="Avenir" w:hAnsi="Helvetica Neue" w:cs="Avenir"/>
                <w:bCs/>
                <w:sz w:val="22"/>
                <w:szCs w:val="22"/>
              </w:rPr>
              <w:tab/>
              <w:t>67.6</w:t>
            </w:r>
            <w:r w:rsidRPr="00E963F8">
              <w:rPr>
                <w:rFonts w:ascii="Helvetica Neue" w:eastAsia="Avenir" w:hAnsi="Helvetica Neue" w:cs="Avenir"/>
                <w:bCs/>
                <w:sz w:val="22"/>
                <w:szCs w:val="22"/>
              </w:rPr>
              <w:tab/>
              <w:t>87.7</w:t>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t>2019-2020</w:t>
            </w:r>
            <w:r w:rsidRPr="00E963F8">
              <w:rPr>
                <w:rFonts w:ascii="Helvetica Neue" w:eastAsia="Avenir" w:hAnsi="Helvetica Neue" w:cs="Avenir"/>
                <w:bCs/>
                <w:sz w:val="22"/>
                <w:szCs w:val="22"/>
              </w:rPr>
              <w:tab/>
              <w:t>63.3</w:t>
            </w:r>
            <w:r w:rsidRPr="00E963F8">
              <w:rPr>
                <w:rFonts w:ascii="Helvetica Neue" w:eastAsia="Avenir" w:hAnsi="Helvetica Neue" w:cs="Avenir"/>
                <w:bCs/>
                <w:sz w:val="22"/>
                <w:szCs w:val="22"/>
              </w:rPr>
              <w:tab/>
              <w:t>83.2</w:t>
            </w:r>
          </w:p>
          <w:p w14:paraId="1534355D" w14:textId="326B311E" w:rsidR="00106447" w:rsidRDefault="00E963F8" w:rsidP="00E963F8">
            <w:pPr>
              <w:rPr>
                <w:rFonts w:ascii="Helvetica Neue" w:eastAsia="Avenir" w:hAnsi="Helvetica Neue" w:cs="Avenir"/>
                <w:bCs/>
                <w:sz w:val="22"/>
                <w:szCs w:val="22"/>
              </w:rPr>
            </w:pPr>
            <w:r w:rsidRPr="00E963F8">
              <w:rPr>
                <w:rFonts w:ascii="Helvetica Neue" w:eastAsia="Avenir" w:hAnsi="Helvetica Neue" w:cs="Avenir"/>
                <w:bCs/>
                <w:sz w:val="22"/>
                <w:szCs w:val="22"/>
              </w:rPr>
              <w:t>2018-2019</w:t>
            </w:r>
            <w:r w:rsidRPr="00E963F8">
              <w:rPr>
                <w:rFonts w:ascii="Helvetica Neue" w:eastAsia="Avenir" w:hAnsi="Helvetica Neue" w:cs="Avenir"/>
                <w:bCs/>
                <w:sz w:val="22"/>
                <w:szCs w:val="22"/>
              </w:rPr>
              <w:tab/>
              <w:t>69.1</w:t>
            </w:r>
            <w:r w:rsidRPr="00E963F8">
              <w:rPr>
                <w:rFonts w:ascii="Helvetica Neue" w:eastAsia="Avenir" w:hAnsi="Helvetica Neue" w:cs="Avenir"/>
                <w:bCs/>
                <w:sz w:val="22"/>
                <w:szCs w:val="22"/>
              </w:rPr>
              <w:tab/>
              <w:t>81</w:t>
            </w:r>
            <w:r w:rsidRPr="00E963F8">
              <w:rPr>
                <w:rFonts w:ascii="Helvetica Neue" w:eastAsia="Avenir" w:hAnsi="Helvetica Neue" w:cs="Avenir"/>
                <w:bCs/>
                <w:sz w:val="22"/>
                <w:szCs w:val="22"/>
              </w:rPr>
              <w:tab/>
            </w:r>
            <w:r w:rsidRPr="00E963F8">
              <w:rPr>
                <w:rFonts w:ascii="Helvetica Neue" w:eastAsia="Avenir" w:hAnsi="Helvetica Neue" w:cs="Avenir"/>
                <w:bCs/>
                <w:sz w:val="22"/>
                <w:szCs w:val="22"/>
              </w:rPr>
              <w:tab/>
              <w:t>2018-2019</w:t>
            </w:r>
            <w:r w:rsidRPr="00E963F8">
              <w:rPr>
                <w:rFonts w:ascii="Helvetica Neue" w:eastAsia="Avenir" w:hAnsi="Helvetica Neue" w:cs="Avenir"/>
                <w:bCs/>
                <w:sz w:val="22"/>
                <w:szCs w:val="22"/>
              </w:rPr>
              <w:tab/>
              <w:t>59.6</w:t>
            </w:r>
            <w:r w:rsidRPr="00E963F8">
              <w:rPr>
                <w:rFonts w:ascii="Helvetica Neue" w:eastAsia="Avenir" w:hAnsi="Helvetica Neue" w:cs="Avenir"/>
                <w:bCs/>
                <w:sz w:val="22"/>
                <w:szCs w:val="22"/>
              </w:rPr>
              <w:tab/>
              <w:t>74.9</w:t>
            </w:r>
          </w:p>
          <w:p w14:paraId="5548163A" w14:textId="77777777" w:rsidR="00E963F8" w:rsidRDefault="00E963F8" w:rsidP="00E963F8">
            <w:pPr>
              <w:rPr>
                <w:rFonts w:ascii="Helvetica Neue" w:eastAsia="Avenir" w:hAnsi="Helvetica Neue" w:cs="Avenir"/>
                <w:bCs/>
                <w:sz w:val="22"/>
                <w:szCs w:val="22"/>
              </w:rPr>
            </w:pPr>
          </w:p>
          <w:p w14:paraId="13D82FF1" w14:textId="4B82FF23" w:rsidR="00E963F8" w:rsidRDefault="00E963F8" w:rsidP="000930DE">
            <w:pPr>
              <w:rPr>
                <w:rFonts w:ascii="Helvetica Neue" w:eastAsia="Avenir" w:hAnsi="Helvetica Neue" w:cs="Avenir"/>
                <w:bCs/>
                <w:sz w:val="22"/>
                <w:szCs w:val="22"/>
              </w:rPr>
            </w:pPr>
            <w:r>
              <w:rPr>
                <w:rFonts w:ascii="Helvetica Neue" w:eastAsia="Avenir" w:hAnsi="Helvetica Neue" w:cs="Avenir"/>
                <w:bCs/>
                <w:sz w:val="22"/>
                <w:szCs w:val="22"/>
              </w:rPr>
              <w:t>Although school completion rates were higher than Mat</w:t>
            </w:r>
            <w:r w:rsidR="00011FFF">
              <w:rPr>
                <w:rFonts w:ascii="Helvetica Neue" w:eastAsia="Avenir" w:hAnsi="Helvetica Neue" w:cs="Avenir"/>
                <w:bCs/>
                <w:sz w:val="22"/>
                <w:szCs w:val="22"/>
              </w:rPr>
              <w:t>h Department completion rates, M</w:t>
            </w:r>
            <w:r>
              <w:rPr>
                <w:rFonts w:ascii="Helvetica Neue" w:eastAsia="Avenir" w:hAnsi="Helvetica Neue" w:cs="Avenir"/>
                <w:bCs/>
                <w:sz w:val="22"/>
                <w:szCs w:val="22"/>
              </w:rPr>
              <w:t xml:space="preserve">ath department completion have increased more during the school years under consideration. Math retention rates have also increased more than the school’s retention rates, although the math retention rates were lower to start with. </w:t>
            </w:r>
          </w:p>
          <w:p w14:paraId="11F88E51" w14:textId="7C71EEE7" w:rsidR="00E963F8" w:rsidRPr="00E963F8" w:rsidRDefault="00E963F8" w:rsidP="000930DE">
            <w:pPr>
              <w:rPr>
                <w:rFonts w:ascii="Helvetica Neue" w:eastAsia="Avenir" w:hAnsi="Helvetica Neue" w:cs="Avenir"/>
                <w:bCs/>
                <w:sz w:val="22"/>
                <w:szCs w:val="22"/>
              </w:rPr>
            </w:pPr>
          </w:p>
          <w:p w14:paraId="188AED32" w14:textId="0276735C" w:rsidR="00106447" w:rsidRPr="00091285" w:rsidRDefault="00106447" w:rsidP="000930DE">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5196F7CD" w:rsidR="00106447" w:rsidRPr="007335EF" w:rsidRDefault="00E963F8"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At</w:t>
            </w:r>
            <w:r w:rsidR="00011FFF">
              <w:rPr>
                <w:rFonts w:ascii="Helvetica Neue" w:eastAsia="Calibri" w:hAnsi="Helvetica Neue" w:cs="Calibri"/>
                <w:color w:val="000000" w:themeColor="text1"/>
                <w:sz w:val="22"/>
                <w:szCs w:val="22"/>
              </w:rPr>
              <w:t xml:space="preserve"> the very least (temporarily), M</w:t>
            </w:r>
            <w:r>
              <w:rPr>
                <w:rFonts w:ascii="Helvetica Neue" w:eastAsia="Calibri" w:hAnsi="Helvetica Neue" w:cs="Calibri"/>
                <w:color w:val="000000" w:themeColor="text1"/>
                <w:sz w:val="22"/>
                <w:szCs w:val="22"/>
              </w:rPr>
              <w:t xml:space="preserve">ath department trends are improving. </w:t>
            </w: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0A861B4F" w:rsidR="00106447" w:rsidRPr="007335EF" w:rsidRDefault="00011FFF"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The M</w:t>
            </w:r>
            <w:r w:rsidR="00E963F8">
              <w:rPr>
                <w:rFonts w:ascii="Helvetica Neue" w:eastAsia="Calibri" w:hAnsi="Helvetica Neue" w:cs="Calibri"/>
                <w:color w:val="000000" w:themeColor="text1"/>
                <w:sz w:val="22"/>
                <w:szCs w:val="22"/>
              </w:rPr>
              <w:t>ath department has fully implemented AB 705 and has added support classes to the large number of sections of Pre</w:t>
            </w:r>
            <w:r w:rsidR="003C417D">
              <w:rPr>
                <w:rFonts w:ascii="Helvetica Neue" w:eastAsia="Calibri" w:hAnsi="Helvetica Neue" w:cs="Calibri"/>
                <w:color w:val="000000" w:themeColor="text1"/>
                <w:sz w:val="22"/>
                <w:szCs w:val="22"/>
              </w:rPr>
              <w:t>-C</w:t>
            </w:r>
            <w:r w:rsidR="00E963F8">
              <w:rPr>
                <w:rFonts w:ascii="Helvetica Neue" w:eastAsia="Calibri" w:hAnsi="Helvetica Neue" w:cs="Calibri"/>
                <w:color w:val="000000" w:themeColor="text1"/>
                <w:sz w:val="22"/>
                <w:szCs w:val="22"/>
              </w:rPr>
              <w:t xml:space="preserve">alculus (Math 1) and Statistics (Math 13). We also need to vary our course offerings at different times of the day to attract more students. </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44BDD51D" w:rsidR="000D087A" w:rsidRDefault="00E963F8" w:rsidP="000D087A">
            <w:pPr>
              <w:rPr>
                <w:rFonts w:ascii="Helvetica Neue" w:hAnsi="Helvetica Neue"/>
                <w:sz w:val="22"/>
                <w:szCs w:val="22"/>
              </w:rPr>
            </w:pPr>
            <w:r>
              <w:rPr>
                <w:rFonts w:ascii="Helvetica Neue" w:hAnsi="Helvetica Neue"/>
                <w:sz w:val="22"/>
                <w:szCs w:val="22"/>
              </w:rPr>
              <w:t>Counseling</w:t>
            </w:r>
          </w:p>
          <w:p w14:paraId="41A594DF" w14:textId="037CAB29" w:rsidR="00E963F8" w:rsidRPr="007335EF" w:rsidRDefault="00E963F8" w:rsidP="000D087A">
            <w:pPr>
              <w:rPr>
                <w:rFonts w:ascii="Helvetica Neue" w:hAnsi="Helvetica Neue"/>
                <w:sz w:val="22"/>
                <w:szCs w:val="22"/>
              </w:rPr>
            </w:pPr>
            <w:r>
              <w:rPr>
                <w:rFonts w:ascii="Helvetica Neue" w:hAnsi="Helvetica Neue"/>
                <w:sz w:val="22"/>
                <w:szCs w:val="22"/>
              </w:rPr>
              <w:t>Ask for degree Audit</w:t>
            </w: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3A63094A" w:rsidR="000D087A" w:rsidRPr="007335EF" w:rsidRDefault="00011FFF"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Develop a yearly schedule instead of a clone of each semester.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1CBAA597" w:rsidR="000D087A" w:rsidRPr="007335EF" w:rsidRDefault="000D087A"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0">
              <w:r w:rsidR="009979A6" w:rsidRPr="0078795C">
                <w:rPr>
                  <w:rStyle w:val="Hyperlink"/>
                  <w:rFonts w:ascii="Helvetica Neue" w:eastAsia="Avenir" w:hAnsi="Helvetica Neue" w:cs="Avenir"/>
                  <w:b/>
                  <w:bCs/>
                  <w:sz w:val="28"/>
                  <w:szCs w:val="28"/>
                </w:rPr>
                <w:t>Degrees and Certificates Dashboa</w:t>
              </w:r>
              <w:r w:rsidR="009979A6" w:rsidRPr="0078795C">
                <w:rPr>
                  <w:rStyle w:val="Hyperlink"/>
                  <w:rFonts w:ascii="Helvetica Neue" w:eastAsia="Avenir" w:hAnsi="Helvetica Neue" w:cs="Avenir"/>
                  <w:b/>
                  <w:bCs/>
                  <w:sz w:val="28"/>
                  <w:szCs w:val="28"/>
                </w:rPr>
                <w:t>r</w:t>
              </w:r>
              <w:r w:rsidR="009979A6" w:rsidRPr="0078795C">
                <w:rPr>
                  <w:rStyle w:val="Hyperlink"/>
                  <w:rFonts w:ascii="Helvetica Neue" w:eastAsia="Avenir" w:hAnsi="Helvetica Neue" w:cs="Avenir"/>
                  <w:b/>
                  <w:bCs/>
                  <w:sz w:val="28"/>
                  <w:szCs w:val="28"/>
                </w:rPr>
                <w:t>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0A3F4E7D" w:rsidR="009979A6" w:rsidRPr="007335EF" w:rsidRDefault="009D74A9" w:rsidP="009979A6">
            <w:pPr>
              <w:rPr>
                <w:rFonts w:ascii="Helvetica Neue" w:hAnsi="Helvetica Neue"/>
                <w:sz w:val="22"/>
                <w:szCs w:val="22"/>
              </w:rPr>
            </w:pPr>
            <w:r>
              <w:rPr>
                <w:rFonts w:ascii="Helvetica Neue" w:hAnsi="Helvetica Neue"/>
                <w:sz w:val="22"/>
                <w:szCs w:val="22"/>
              </w:rPr>
              <w:t xml:space="preserve">The dashboard does not allow me to see the degree trend for the department.  Math is required for every ADT.  The Math department </w:t>
            </w:r>
            <w:r w:rsidR="00D247D1">
              <w:rPr>
                <w:rFonts w:ascii="Helvetica Neue" w:hAnsi="Helvetica Neue"/>
                <w:sz w:val="22"/>
                <w:szCs w:val="22"/>
              </w:rPr>
              <w:t xml:space="preserve">also </w:t>
            </w:r>
            <w:r>
              <w:rPr>
                <w:rFonts w:ascii="Helvetica Neue" w:hAnsi="Helvetica Neue"/>
                <w:sz w:val="22"/>
                <w:szCs w:val="22"/>
              </w:rPr>
              <w:t>suppo</w:t>
            </w:r>
            <w:r w:rsidR="00D247D1">
              <w:rPr>
                <w:rFonts w:ascii="Helvetica Neue" w:hAnsi="Helvetica Neue"/>
                <w:sz w:val="22"/>
                <w:szCs w:val="22"/>
              </w:rPr>
              <w:t>rts other disciplines</w:t>
            </w:r>
            <w:r>
              <w:rPr>
                <w:rFonts w:ascii="Helvetica Neue" w:hAnsi="Helvetica Neue"/>
                <w:sz w:val="22"/>
                <w:szCs w:val="22"/>
              </w:rPr>
              <w:t>.  The department offers prere</w:t>
            </w:r>
            <w:r w:rsidR="00D247D1">
              <w:rPr>
                <w:rFonts w:ascii="Helvetica Neue" w:hAnsi="Helvetica Neue"/>
                <w:sz w:val="22"/>
                <w:szCs w:val="22"/>
              </w:rPr>
              <w:t xml:space="preserve">quisite courses for Business, the sciences, and many other majors. </w:t>
            </w:r>
            <w:r>
              <w:rPr>
                <w:rFonts w:ascii="Helvetica Neue" w:hAnsi="Helvetica Neue"/>
                <w:sz w:val="22"/>
                <w:szCs w:val="22"/>
              </w:rPr>
              <w:t xml:space="preserve">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703FF709" w:rsidR="009979A6" w:rsidRPr="007335EF" w:rsidRDefault="00D247D1" w:rsidP="009979A6">
            <w:pPr>
              <w:rPr>
                <w:rFonts w:ascii="Helvetica Neue" w:hAnsi="Helvetica Neue"/>
                <w:sz w:val="22"/>
                <w:szCs w:val="22"/>
              </w:rPr>
            </w:pPr>
            <w:r>
              <w:rPr>
                <w:rFonts w:ascii="Helvetica Neue" w:hAnsi="Helvetica Neue"/>
                <w:sz w:val="22"/>
                <w:szCs w:val="22"/>
              </w:rPr>
              <w:t xml:space="preserve">Typically, the minority students seem to be about 5% points behind in terms of completion, especially males of color. </w:t>
            </w: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757A82BB" w:rsidR="009979A6" w:rsidRPr="007335EF" w:rsidRDefault="00D247D1" w:rsidP="009979A6">
            <w:pPr>
              <w:rPr>
                <w:rFonts w:ascii="Helvetica Neue" w:hAnsi="Helvetica Neue"/>
                <w:sz w:val="22"/>
                <w:szCs w:val="22"/>
              </w:rPr>
            </w:pPr>
            <w:r>
              <w:rPr>
                <w:rFonts w:ascii="Helvetica Neue" w:hAnsi="Helvetica Neue"/>
                <w:sz w:val="22"/>
                <w:szCs w:val="22"/>
              </w:rPr>
              <w:t>The trends at BCC are roughly comparable with the overall college average.</w:t>
            </w: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9979A6" w14:paraId="5FBCC277" w14:textId="77777777" w:rsidTr="00821912">
        <w:tc>
          <w:tcPr>
            <w:tcW w:w="9926" w:type="dxa"/>
            <w:gridSpan w:val="3"/>
            <w:shd w:val="clear" w:color="auto" w:fill="FFF2CC" w:themeFill="accent4" w:themeFillTint="33"/>
          </w:tcPr>
          <w:p w14:paraId="392E9AD7" w14:textId="704FF2EE" w:rsidR="009979A6" w:rsidRPr="007335EF" w:rsidRDefault="008438C0"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We need to offer the full range of classes for the math program.  We also need to offer classes like math 16B for business majors, however Laney College offers this class once a year as BCC does not have enough student interest to support one full section.</w:t>
            </w:r>
            <w:r w:rsidR="009D74A9">
              <w:rPr>
                <w:rFonts w:ascii="Helvetica Neue" w:eastAsia="Calibri" w:hAnsi="Helvetica Neue" w:cs="Calibri"/>
                <w:color w:val="000000" w:themeColor="text1"/>
                <w:sz w:val="22"/>
                <w:szCs w:val="22"/>
              </w:rPr>
              <w:t xml:space="preserve"> The department is also in the process of updating the Math ADT to include more elective courses.  </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12310634" w:rsidR="000D087A" w:rsidRPr="007335EF" w:rsidRDefault="00D247D1"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We will still continue to expand our student population through high school and adult education avenues.</w:t>
            </w:r>
          </w:p>
        </w:tc>
        <w:tc>
          <w:tcPr>
            <w:tcW w:w="3309" w:type="dxa"/>
            <w:shd w:val="clear" w:color="auto" w:fill="FFF2CC" w:themeFill="accent4" w:themeFillTint="33"/>
          </w:tcPr>
          <w:p w14:paraId="5A61AA0C" w14:textId="264CA2AC" w:rsidR="000D087A" w:rsidRPr="007335EF" w:rsidRDefault="00D247D1"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If enrollment trends drop slightly, this might mean we will not be able to offer as many classes to the part-time faculty.</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013FC5D6" w:rsidR="000D087A" w:rsidRPr="007335EF" w:rsidRDefault="000D087A" w:rsidP="009979A6">
            <w:pPr>
              <w:rPr>
                <w:rFonts w:ascii="Helvetica Neue" w:eastAsia="Calibri" w:hAnsi="Helvetica Neue" w:cs="Calibri"/>
                <w:color w:val="000000" w:themeColor="text1"/>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1">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692279BB" w14:textId="0AB06E29" w:rsidR="00D77CC1" w:rsidRPr="00D77CC1" w:rsidRDefault="00D77CC1" w:rsidP="00D77CC1">
            <w:pPr>
              <w:spacing w:after="160" w:line="259" w:lineRule="auto"/>
              <w:rPr>
                <w:rFonts w:ascii="Segoe UI" w:eastAsiaTheme="minorHAnsi" w:hAnsi="Segoe UI" w:cs="Segoe UI"/>
                <w:sz w:val="20"/>
                <w:szCs w:val="20"/>
              </w:rPr>
            </w:pPr>
            <w:r w:rsidRPr="00D77CC1">
              <w:rPr>
                <w:rFonts w:ascii="Segoe UI" w:eastAsiaTheme="minorHAnsi" w:hAnsi="Segoe UI" w:cs="Segoe UI"/>
                <w:sz w:val="20"/>
                <w:szCs w:val="20"/>
              </w:rPr>
              <w:lastRenderedPageBreak/>
              <w:t>The BCC Math department will continue to increase its offerings of the Calculus sequence (Math 3A-Math 3F) as the need arises.</w:t>
            </w:r>
            <w:r w:rsidR="008438C0">
              <w:rPr>
                <w:rFonts w:ascii="Segoe UI" w:eastAsiaTheme="minorHAnsi" w:hAnsi="Segoe UI" w:cs="Segoe UI"/>
                <w:sz w:val="20"/>
                <w:szCs w:val="20"/>
              </w:rPr>
              <w:t xml:space="preserve"> The department is also considering adding Math 11 (Discrete Mathematics) to the course curriculum to increase the number of electives for Math majors and computer science students. </w:t>
            </w:r>
          </w:p>
          <w:p w14:paraId="1EC8528F" w14:textId="280D85AF"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358A1743" w14:textId="0ACCF0D1" w:rsidR="007E1142" w:rsidRPr="00D73E71" w:rsidRDefault="00073426" w:rsidP="00EE3904">
            <w:pPr>
              <w:rPr>
                <w:rFonts w:ascii="Segoe UI" w:hAnsi="Segoe UI" w:cs="Segoe UI"/>
                <w:sz w:val="20"/>
                <w:szCs w:val="20"/>
              </w:rPr>
            </w:pPr>
            <w:r w:rsidRPr="00D73E71">
              <w:rPr>
                <w:rFonts w:ascii="Segoe UI" w:hAnsi="Segoe UI" w:cs="Segoe UI"/>
                <w:sz w:val="20"/>
                <w:szCs w:val="20"/>
              </w:rPr>
              <w:t>Some faculty members have adopted an equity grading rubric</w:t>
            </w:r>
            <w:r w:rsidR="00D73E71" w:rsidRPr="00D73E71">
              <w:rPr>
                <w:rFonts w:ascii="Segoe UI" w:hAnsi="Segoe UI" w:cs="Segoe UI"/>
                <w:sz w:val="20"/>
                <w:szCs w:val="20"/>
              </w:rPr>
              <w:t>.  P</w:t>
            </w:r>
            <w:r w:rsidRPr="00D73E71">
              <w:rPr>
                <w:rFonts w:ascii="Segoe UI" w:hAnsi="Segoe UI" w:cs="Segoe UI"/>
                <w:sz w:val="20"/>
                <w:szCs w:val="20"/>
              </w:rPr>
              <w:t>art of this includes allowing late</w:t>
            </w:r>
            <w:r w:rsidR="003C417D" w:rsidRPr="00D73E71">
              <w:rPr>
                <w:rFonts w:ascii="Segoe UI" w:hAnsi="Segoe UI" w:cs="Segoe UI"/>
                <w:sz w:val="20"/>
                <w:szCs w:val="20"/>
              </w:rPr>
              <w:t xml:space="preserve"> submissions without any penalty and raising the minimum grade to 50% instead of 0%.</w:t>
            </w:r>
          </w:p>
          <w:p w14:paraId="77B9F97D" w14:textId="61633235" w:rsidR="003C417D" w:rsidRPr="00D73E71" w:rsidRDefault="003C417D" w:rsidP="00EE3904">
            <w:pPr>
              <w:rPr>
                <w:rFonts w:ascii="Segoe UI" w:hAnsi="Segoe UI" w:cs="Segoe UI"/>
                <w:sz w:val="20"/>
                <w:szCs w:val="20"/>
              </w:rPr>
            </w:pP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930DE">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930DE">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335EF" w:rsidRDefault="00EE3904" w:rsidP="000930DE">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5290BE82" w:rsidR="00EE3904" w:rsidRPr="007335EF" w:rsidRDefault="008438C0" w:rsidP="000930DE">
            <w:pPr>
              <w:rPr>
                <w:rFonts w:ascii="Helvetica Neue" w:hAnsi="Helvetica Neue"/>
                <w:sz w:val="22"/>
                <w:szCs w:val="22"/>
                <w:highlight w:val="yellow"/>
              </w:rPr>
            </w:pPr>
            <w:r>
              <w:rPr>
                <w:rFonts w:ascii="Helvetica Neue" w:hAnsi="Helvetica Neue"/>
                <w:sz w:val="22"/>
                <w:szCs w:val="22"/>
              </w:rPr>
              <w:t>M</w:t>
            </w:r>
            <w:r w:rsidRPr="008438C0">
              <w:rPr>
                <w:rFonts w:ascii="Helvetica Neue" w:hAnsi="Helvetica Neue"/>
                <w:sz w:val="22"/>
                <w:szCs w:val="22"/>
              </w:rPr>
              <w:t>ath</w:t>
            </w:r>
            <w:r>
              <w:rPr>
                <w:rFonts w:ascii="Helvetica Neue" w:hAnsi="Helvetica Neue"/>
                <w:sz w:val="22"/>
                <w:szCs w:val="22"/>
              </w:rPr>
              <w:t xml:space="preserve"> Department</w:t>
            </w:r>
          </w:p>
        </w:tc>
      </w:tr>
      <w:tr w:rsidR="00EE3904" w:rsidRPr="00EC7286" w14:paraId="2FABBC34" w14:textId="77777777" w:rsidTr="00821912">
        <w:tc>
          <w:tcPr>
            <w:tcW w:w="3196" w:type="dxa"/>
          </w:tcPr>
          <w:p w14:paraId="4DDE3826" w14:textId="77777777" w:rsidR="00EE3904" w:rsidRPr="007335EF" w:rsidRDefault="00EE3904" w:rsidP="000930DE">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0F68849F" w:rsidR="00EE3904" w:rsidRPr="008438C0" w:rsidRDefault="008438C0" w:rsidP="000930DE">
            <w:pPr>
              <w:rPr>
                <w:rFonts w:ascii="Helvetica Neue" w:hAnsi="Helvetica Neue"/>
                <w:sz w:val="22"/>
                <w:szCs w:val="22"/>
              </w:rPr>
            </w:pPr>
            <w:r w:rsidRPr="008438C0">
              <w:rPr>
                <w:rFonts w:ascii="Helvetica Neue" w:hAnsi="Helvetica Neue"/>
                <w:sz w:val="22"/>
                <w:szCs w:val="22"/>
              </w:rPr>
              <w:t xml:space="preserve">Zoom Access to </w:t>
            </w:r>
            <w:r>
              <w:rPr>
                <w:rFonts w:ascii="Helvetica Neue" w:hAnsi="Helvetica Neue"/>
                <w:sz w:val="22"/>
                <w:szCs w:val="22"/>
              </w:rPr>
              <w:t>classes and tutoring</w:t>
            </w:r>
          </w:p>
        </w:tc>
      </w:tr>
      <w:tr w:rsidR="00EE3904" w:rsidRPr="00EC7286" w14:paraId="783B67FE" w14:textId="77777777" w:rsidTr="00821912">
        <w:tc>
          <w:tcPr>
            <w:tcW w:w="3196" w:type="dxa"/>
          </w:tcPr>
          <w:p w14:paraId="6A5FF3F3" w14:textId="77777777" w:rsidR="00EE3904" w:rsidRPr="007335EF" w:rsidRDefault="00EE3904" w:rsidP="000930DE">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17F06A2D" w:rsidR="00EE3904" w:rsidRPr="008438C0" w:rsidRDefault="008438C0" w:rsidP="000930DE">
            <w:pPr>
              <w:rPr>
                <w:rFonts w:ascii="Helvetica Neue" w:hAnsi="Helvetica Neue"/>
                <w:sz w:val="22"/>
                <w:szCs w:val="22"/>
              </w:rPr>
            </w:pPr>
            <w:r w:rsidRPr="008438C0">
              <w:rPr>
                <w:rFonts w:ascii="Helvetica Neue" w:hAnsi="Helvetica Neue"/>
                <w:sz w:val="22"/>
                <w:szCs w:val="22"/>
              </w:rPr>
              <w:t>Train instructors and tutors in best practices for using Zoom for instruction and tutoring</w:t>
            </w:r>
          </w:p>
        </w:tc>
      </w:tr>
      <w:tr w:rsidR="00EE3904" w:rsidRPr="00EC7286" w14:paraId="104142FA" w14:textId="77777777" w:rsidTr="00821912">
        <w:tc>
          <w:tcPr>
            <w:tcW w:w="3196" w:type="dxa"/>
          </w:tcPr>
          <w:p w14:paraId="1A117FF9" w14:textId="16D0A42C" w:rsidR="00EE3904" w:rsidRPr="007335EF" w:rsidRDefault="006425C8" w:rsidP="000930DE">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168E8361" w:rsidR="00EE3904" w:rsidRPr="008438C0" w:rsidRDefault="008438C0" w:rsidP="000930DE">
            <w:pPr>
              <w:rPr>
                <w:rFonts w:ascii="Helvetica Neue" w:hAnsi="Helvetica Neue"/>
                <w:sz w:val="22"/>
                <w:szCs w:val="22"/>
              </w:rPr>
            </w:pPr>
            <w:r w:rsidRPr="008438C0">
              <w:rPr>
                <w:rFonts w:ascii="Helvetica Neue" w:hAnsi="Helvetica Neue"/>
                <w:sz w:val="22"/>
                <w:szCs w:val="22"/>
              </w:rPr>
              <w:t>Ongoing</w:t>
            </w:r>
          </w:p>
        </w:tc>
      </w:tr>
      <w:tr w:rsidR="00EE3904" w:rsidRPr="00EC7286" w14:paraId="3BBD62B5" w14:textId="77777777" w:rsidTr="00821912">
        <w:tc>
          <w:tcPr>
            <w:tcW w:w="3196" w:type="dxa"/>
          </w:tcPr>
          <w:p w14:paraId="32B32B0A" w14:textId="77777777" w:rsidR="00EE3904" w:rsidRPr="007335EF" w:rsidRDefault="00EE3904" w:rsidP="000930DE">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2EF2D914" w:rsidR="00EE3904" w:rsidRPr="008438C0" w:rsidRDefault="008438C0" w:rsidP="000930DE">
            <w:pPr>
              <w:rPr>
                <w:rFonts w:ascii="Helvetica Neue" w:hAnsi="Helvetica Neue"/>
                <w:sz w:val="22"/>
                <w:szCs w:val="22"/>
              </w:rPr>
            </w:pPr>
            <w:r w:rsidRPr="008438C0">
              <w:rPr>
                <w:rFonts w:ascii="Helvetica Neue" w:hAnsi="Helvetica Neue"/>
                <w:sz w:val="22"/>
                <w:szCs w:val="22"/>
              </w:rPr>
              <w:t>Math instructors and LRC</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548CE006" w14:textId="6908F943" w:rsidR="00F4718F"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Raise College Competence: Raise student skills and competencies, and expand their learning</w:t>
            </w:r>
            <w:r>
              <w:rPr>
                <w:rFonts w:ascii="Segoe UI" w:eastAsiaTheme="minorHAnsi" w:hAnsi="Segoe UI" w:cs="Segoe UI"/>
                <w:sz w:val="20"/>
                <w:szCs w:val="20"/>
              </w:rPr>
              <w:t xml:space="preserve"> </w:t>
            </w:r>
            <w:r w:rsidRPr="00C645CB">
              <w:rPr>
                <w:rFonts w:ascii="Segoe UI" w:eastAsiaTheme="minorHAnsi" w:hAnsi="Segoe UI" w:cs="Segoe UI"/>
                <w:sz w:val="20"/>
                <w:szCs w:val="20"/>
              </w:rPr>
              <w:t>experiences, so that they can successfully complete their college program.</w:t>
            </w: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2A742569" w14:textId="77777777"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lastRenderedPageBreak/>
              <w:t>The Math Department has adopted the college's goal:</w:t>
            </w:r>
          </w:p>
          <w:p w14:paraId="60B3948C" w14:textId="4586C6B8"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Raise College Competence: Raise student skills and competencies, and expand their learning</w:t>
            </w:r>
            <w:r>
              <w:rPr>
                <w:rFonts w:ascii="Segoe UI" w:eastAsiaTheme="minorHAnsi" w:hAnsi="Segoe UI" w:cs="Segoe UI"/>
                <w:sz w:val="20"/>
                <w:szCs w:val="20"/>
              </w:rPr>
              <w:t xml:space="preserve"> </w:t>
            </w:r>
            <w:r w:rsidRPr="00C645CB">
              <w:rPr>
                <w:rFonts w:ascii="Segoe UI" w:eastAsiaTheme="minorHAnsi" w:hAnsi="Segoe UI" w:cs="Segoe UI"/>
                <w:sz w:val="20"/>
                <w:szCs w:val="20"/>
              </w:rPr>
              <w:t>experiences, so that they can successfully complete their college program.</w:t>
            </w:r>
          </w:p>
          <w:p w14:paraId="6456A762" w14:textId="77777777"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This goal aligns with PCCD District Goals:</w:t>
            </w:r>
          </w:p>
          <w:p w14:paraId="6B604359" w14:textId="77777777"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Goal 1: Promote Equity</w:t>
            </w:r>
          </w:p>
          <w:p w14:paraId="392076EA" w14:textId="2F38C0DF"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Goal 3: Offer Students the highest quality curriculum and services</w:t>
            </w:r>
          </w:p>
          <w:p w14:paraId="2D7EC208" w14:textId="77777777"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Status Update:</w:t>
            </w:r>
          </w:p>
          <w:p w14:paraId="72E66A45" w14:textId="77777777"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Department faculty are working with administrators, the Learning Resources Center, and students on developing a tutor training program.</w:t>
            </w:r>
          </w:p>
          <w:p w14:paraId="0C87D035" w14:textId="1862FE99" w:rsidR="00C645CB" w:rsidRPr="00C645CB" w:rsidRDefault="008438C0" w:rsidP="00C645CB">
            <w:pPr>
              <w:spacing w:after="160" w:line="259" w:lineRule="auto"/>
              <w:rPr>
                <w:rFonts w:ascii="Segoe UI" w:eastAsiaTheme="minorHAnsi" w:hAnsi="Segoe UI" w:cs="Segoe UI"/>
                <w:sz w:val="20"/>
                <w:szCs w:val="20"/>
              </w:rPr>
            </w:pPr>
            <w:r w:rsidRPr="008438C0">
              <w:rPr>
                <w:rFonts w:ascii="Segoe UI" w:eastAsiaTheme="minorHAnsi" w:hAnsi="Segoe UI" w:cs="Segoe UI"/>
                <w:sz w:val="20"/>
                <w:szCs w:val="20"/>
              </w:rPr>
              <w:t xml:space="preserve">The department </w:t>
            </w:r>
            <w:r w:rsidR="00C645CB" w:rsidRPr="00C645CB">
              <w:rPr>
                <w:rFonts w:ascii="Segoe UI" w:eastAsiaTheme="minorHAnsi" w:hAnsi="Segoe UI" w:cs="Segoe UI"/>
                <w:sz w:val="20"/>
                <w:szCs w:val="20"/>
              </w:rPr>
              <w:t xml:space="preserve">developed </w:t>
            </w:r>
            <w:r w:rsidRPr="008438C0">
              <w:rPr>
                <w:rFonts w:ascii="Segoe UI" w:eastAsiaTheme="minorHAnsi" w:hAnsi="Segoe UI" w:cs="Segoe UI"/>
                <w:sz w:val="20"/>
                <w:szCs w:val="20"/>
              </w:rPr>
              <w:t xml:space="preserve">and is </w:t>
            </w:r>
            <w:r>
              <w:rPr>
                <w:rFonts w:ascii="Segoe UI" w:eastAsiaTheme="minorHAnsi" w:hAnsi="Segoe UI" w:cs="Segoe UI"/>
                <w:sz w:val="20"/>
                <w:szCs w:val="20"/>
              </w:rPr>
              <w:t xml:space="preserve">currently </w:t>
            </w:r>
            <w:r w:rsidRPr="008438C0">
              <w:rPr>
                <w:rFonts w:ascii="Segoe UI" w:eastAsiaTheme="minorHAnsi" w:hAnsi="Segoe UI" w:cs="Segoe UI"/>
                <w:sz w:val="20"/>
                <w:szCs w:val="20"/>
              </w:rPr>
              <w:t xml:space="preserve">offering </w:t>
            </w:r>
            <w:r w:rsidR="00C645CB" w:rsidRPr="00C645CB">
              <w:rPr>
                <w:rFonts w:ascii="Segoe UI" w:eastAsiaTheme="minorHAnsi" w:hAnsi="Segoe UI" w:cs="Segoe UI"/>
                <w:sz w:val="20"/>
                <w:szCs w:val="20"/>
              </w:rPr>
              <w:t>three support classes for Math 13 Intro to Statistics, Math 1 Pre-Calculus, and math 50 Trigono</w:t>
            </w:r>
            <w:r w:rsidRPr="008438C0">
              <w:rPr>
                <w:rFonts w:ascii="Segoe UI" w:eastAsiaTheme="minorHAnsi" w:hAnsi="Segoe UI" w:cs="Segoe UI"/>
                <w:sz w:val="20"/>
                <w:szCs w:val="20"/>
              </w:rPr>
              <w:t xml:space="preserve">metry to remain in compliance with </w:t>
            </w:r>
            <w:r w:rsidR="00C645CB" w:rsidRPr="00C645CB">
              <w:rPr>
                <w:rFonts w:ascii="Segoe UI" w:eastAsiaTheme="minorHAnsi" w:hAnsi="Segoe UI" w:cs="Segoe UI"/>
                <w:sz w:val="20"/>
                <w:szCs w:val="20"/>
              </w:rPr>
              <w:t xml:space="preserve"> AB 705. All three support classes have been submitted and approved by the state.</w:t>
            </w:r>
          </w:p>
          <w:p w14:paraId="18422EEE" w14:textId="318171F7" w:rsidR="00F4718F" w:rsidRPr="008438C0" w:rsidRDefault="00C645CB" w:rsidP="00C645CB">
            <w:pPr>
              <w:rPr>
                <w:rFonts w:ascii="Helvetica Neue" w:hAnsi="Helvetica Neue"/>
                <w:sz w:val="22"/>
                <w:szCs w:val="22"/>
              </w:rPr>
            </w:pPr>
            <w:r w:rsidRPr="008438C0">
              <w:rPr>
                <w:rFonts w:ascii="Segoe UI" w:eastAsiaTheme="minorHAnsi" w:hAnsi="Segoe UI" w:cs="Segoe UI"/>
                <w:sz w:val="20"/>
                <w:szCs w:val="20"/>
              </w:rPr>
              <w:t>The dep</w:t>
            </w:r>
            <w:r w:rsidR="00AD6A4E" w:rsidRPr="008438C0">
              <w:rPr>
                <w:rFonts w:ascii="Segoe UI" w:eastAsiaTheme="minorHAnsi" w:hAnsi="Segoe UI" w:cs="Segoe UI"/>
                <w:sz w:val="20"/>
                <w:szCs w:val="20"/>
              </w:rPr>
              <w:t>artment has developed</w:t>
            </w:r>
            <w:r w:rsidRPr="008438C0">
              <w:rPr>
                <w:rFonts w:ascii="Segoe UI" w:eastAsiaTheme="minorHAnsi" w:hAnsi="Segoe UI" w:cs="Segoe UI"/>
                <w:sz w:val="20"/>
                <w:szCs w:val="20"/>
              </w:rPr>
              <w:t xml:space="preserve"> a self-guided placement tool for students and counselors to assist with AB 705 implementation and Guided Pathways.</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615ADE6C"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672486" w14:paraId="050516CA" w14:textId="77777777" w:rsidTr="00821912">
        <w:trPr>
          <w:trHeight w:val="171"/>
        </w:trPr>
        <w:tc>
          <w:tcPr>
            <w:tcW w:w="3308" w:type="dxa"/>
            <w:shd w:val="clear" w:color="auto" w:fill="FFF2CC" w:themeFill="accent4" w:themeFillTint="33"/>
          </w:tcPr>
          <w:p w14:paraId="7CABACE0" w14:textId="477C4933" w:rsidR="00672486" w:rsidRPr="00C645CB" w:rsidRDefault="00672486" w:rsidP="00672486">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The Math department occupies office space in rooms 353 and 355. Another full time faculty membe</w:t>
            </w:r>
            <w:r w:rsidRPr="00672486">
              <w:rPr>
                <w:rFonts w:ascii="Segoe UI" w:eastAsiaTheme="minorHAnsi" w:hAnsi="Segoe UI" w:cs="Segoe UI"/>
                <w:sz w:val="20"/>
                <w:szCs w:val="20"/>
              </w:rPr>
              <w:t>r shares an office with two non-</w:t>
            </w:r>
            <w:r w:rsidRPr="00C645CB">
              <w:rPr>
                <w:rFonts w:ascii="Segoe UI" w:eastAsiaTheme="minorHAnsi" w:hAnsi="Segoe UI" w:cs="Segoe UI"/>
                <w:sz w:val="20"/>
                <w:szCs w:val="20"/>
              </w:rPr>
              <w:t>Math faculty members in room.  Most part time Math faculty members’ also use room 355 for their office hours, other use</w:t>
            </w:r>
            <w:r w:rsidRPr="00672486">
              <w:rPr>
                <w:rFonts w:ascii="Segoe UI" w:eastAsiaTheme="minorHAnsi" w:hAnsi="Segoe UI" w:cs="Segoe UI"/>
                <w:sz w:val="20"/>
                <w:szCs w:val="20"/>
              </w:rPr>
              <w:t>d</w:t>
            </w:r>
            <w:r w:rsidRPr="00C645CB">
              <w:rPr>
                <w:rFonts w:ascii="Segoe UI" w:eastAsiaTheme="minorHAnsi" w:hAnsi="Segoe UI" w:cs="Segoe UI"/>
                <w:sz w:val="20"/>
                <w:szCs w:val="20"/>
              </w:rPr>
              <w:t xml:space="preserve"> room 112 located in the Learning Resources Center</w:t>
            </w:r>
            <w:r w:rsidRPr="00672486">
              <w:rPr>
                <w:rFonts w:ascii="Segoe UI" w:eastAsiaTheme="minorHAnsi" w:hAnsi="Segoe UI" w:cs="Segoe UI"/>
                <w:sz w:val="20"/>
                <w:szCs w:val="20"/>
              </w:rPr>
              <w:t xml:space="preserve"> (another program is now using this space)</w:t>
            </w:r>
            <w:r w:rsidRPr="00C645CB">
              <w:rPr>
                <w:rFonts w:ascii="Segoe UI" w:eastAsiaTheme="minorHAnsi" w:hAnsi="Segoe UI" w:cs="Segoe UI"/>
                <w:sz w:val="20"/>
                <w:szCs w:val="20"/>
              </w:rPr>
              <w:t>.  Four full time faculty members use room 353.  Three full t</w:t>
            </w:r>
            <w:r w:rsidRPr="00672486">
              <w:rPr>
                <w:rFonts w:ascii="Segoe UI" w:eastAsiaTheme="minorHAnsi" w:hAnsi="Segoe UI" w:cs="Segoe UI"/>
                <w:sz w:val="20"/>
                <w:szCs w:val="20"/>
              </w:rPr>
              <w:t>ime faculty members and all</w:t>
            </w:r>
            <w:r w:rsidRPr="00C645CB">
              <w:rPr>
                <w:rFonts w:ascii="Segoe UI" w:eastAsiaTheme="minorHAnsi" w:hAnsi="Segoe UI" w:cs="Segoe UI"/>
                <w:sz w:val="20"/>
                <w:szCs w:val="20"/>
              </w:rPr>
              <w:t xml:space="preserve"> part time faculty members use room 355.  </w:t>
            </w:r>
          </w:p>
          <w:p w14:paraId="5161F100" w14:textId="77777777" w:rsidR="00672486" w:rsidRPr="00672486" w:rsidRDefault="00672486" w:rsidP="00672486">
            <w:pPr>
              <w:rPr>
                <w:rFonts w:ascii="Segoe UI" w:hAnsi="Segoe UI" w:cs="Segoe UI"/>
                <w:sz w:val="20"/>
                <w:szCs w:val="20"/>
              </w:rPr>
            </w:pPr>
            <w:r w:rsidRPr="00672486">
              <w:rPr>
                <w:rFonts w:ascii="Segoe UI" w:eastAsiaTheme="minorHAnsi" w:hAnsi="Segoe UI" w:cs="Segoe UI"/>
                <w:sz w:val="20"/>
                <w:szCs w:val="20"/>
              </w:rPr>
              <w:lastRenderedPageBreak/>
              <w:t xml:space="preserve">The Math Lab class is room 321.  The Math department has a laptop cart and storage in this classroom.  Room 322 also has an additional laptop cart for Math department use.  </w:t>
            </w:r>
          </w:p>
          <w:p w14:paraId="50731309" w14:textId="77777777" w:rsidR="00672486" w:rsidRDefault="00672486" w:rsidP="00672486">
            <w:pPr>
              <w:rPr>
                <w:rFonts w:ascii="Segoe UI" w:hAnsi="Segoe UI" w:cs="Segoe UI"/>
                <w:sz w:val="20"/>
                <w:szCs w:val="20"/>
              </w:rPr>
            </w:pPr>
            <w:r w:rsidRPr="00672486">
              <w:rPr>
                <w:rFonts w:ascii="Segoe UI" w:hAnsi="Segoe UI" w:cs="Segoe UI"/>
                <w:sz w:val="20"/>
                <w:szCs w:val="20"/>
              </w:rPr>
              <w:t xml:space="preserve">The office space is not sufficient for our part time faculty.  During prime time office space can get crowded.  </w:t>
            </w:r>
          </w:p>
          <w:p w14:paraId="1820BEC3" w14:textId="77777777" w:rsidR="00672486" w:rsidRDefault="00672486" w:rsidP="00672486">
            <w:pPr>
              <w:rPr>
                <w:rFonts w:ascii="Segoe UI" w:hAnsi="Segoe UI" w:cs="Segoe UI"/>
                <w:sz w:val="20"/>
                <w:szCs w:val="20"/>
              </w:rPr>
            </w:pPr>
            <w:r>
              <w:rPr>
                <w:rFonts w:ascii="Segoe UI" w:hAnsi="Segoe UI" w:cs="Segoe UI"/>
                <w:sz w:val="20"/>
                <w:szCs w:val="20"/>
              </w:rPr>
              <w:t>These considerations need to be addressed.  The department needs more office space.</w:t>
            </w:r>
          </w:p>
          <w:p w14:paraId="5D142FB6" w14:textId="77777777" w:rsidR="00672486" w:rsidRDefault="00672486" w:rsidP="00672486">
            <w:pPr>
              <w:rPr>
                <w:rFonts w:ascii="Segoe UI" w:hAnsi="Segoe UI" w:cs="Segoe UI"/>
                <w:sz w:val="20"/>
                <w:szCs w:val="20"/>
              </w:rPr>
            </w:pPr>
          </w:p>
          <w:p w14:paraId="62E6E28E" w14:textId="2447444E" w:rsidR="00672486" w:rsidRPr="00672486" w:rsidRDefault="00672486" w:rsidP="00672486">
            <w:pPr>
              <w:rPr>
                <w:rFonts w:ascii="Segoe UI" w:hAnsi="Segoe UI" w:cs="Segoe UI"/>
                <w:sz w:val="20"/>
                <w:szCs w:val="20"/>
              </w:rPr>
            </w:pPr>
          </w:p>
        </w:tc>
        <w:tc>
          <w:tcPr>
            <w:tcW w:w="3309" w:type="dxa"/>
            <w:shd w:val="clear" w:color="auto" w:fill="FFF2CC" w:themeFill="accent4" w:themeFillTint="33"/>
          </w:tcPr>
          <w:p w14:paraId="4E8E3FFF" w14:textId="51D762F2" w:rsidR="00672486" w:rsidRPr="00DE1539" w:rsidRDefault="00672486" w:rsidP="00672486">
            <w:pPr>
              <w:rPr>
                <w:rFonts w:ascii="Helvetica" w:hAnsi="Helvetica" w:cs="Segoe UI Historic"/>
                <w:sz w:val="20"/>
                <w:szCs w:val="20"/>
              </w:rPr>
            </w:pPr>
            <w:r w:rsidRPr="00DE1539">
              <w:rPr>
                <w:rFonts w:ascii="Helvetica" w:hAnsi="Helvetica" w:cs="Segoe UI Historic"/>
                <w:sz w:val="20"/>
                <w:szCs w:val="20"/>
              </w:rPr>
              <w:lastRenderedPageBreak/>
              <w:t xml:space="preserve">The departmental needs of office space needs to be adjusted in the future, and the department has a continuing need for office space, both at 2050 Center Street and also in the new building. </w:t>
            </w:r>
          </w:p>
        </w:tc>
        <w:tc>
          <w:tcPr>
            <w:tcW w:w="3309" w:type="dxa"/>
            <w:shd w:val="clear" w:color="auto" w:fill="FFF2CC" w:themeFill="accent4" w:themeFillTint="33"/>
          </w:tcPr>
          <w:p w14:paraId="59B80E2F" w14:textId="276FB734" w:rsidR="00672486" w:rsidRPr="00DE1539" w:rsidRDefault="00672486" w:rsidP="00672486">
            <w:pPr>
              <w:rPr>
                <w:rFonts w:ascii="Helvetica" w:hAnsi="Helvetica" w:cs="Segoe UI Historic"/>
                <w:sz w:val="20"/>
                <w:szCs w:val="20"/>
              </w:rPr>
            </w:pPr>
            <w:r w:rsidRPr="00DE1539">
              <w:rPr>
                <w:rFonts w:ascii="Helvetica" w:hAnsi="Helvetica" w:cs="Segoe UI Historic"/>
                <w:sz w:val="20"/>
                <w:szCs w:val="20"/>
              </w:rPr>
              <w:t xml:space="preserve">The departmental needs of office space needs to be adjusted in the future, and the department has a continuing need for office space, both at 2050 Center Street and also in the new building. </w:t>
            </w:r>
          </w:p>
        </w:tc>
      </w:tr>
      <w:tr w:rsidR="00672486" w14:paraId="50D909C1" w14:textId="77777777" w:rsidTr="00F4718F">
        <w:tc>
          <w:tcPr>
            <w:tcW w:w="9926" w:type="dxa"/>
            <w:gridSpan w:val="3"/>
          </w:tcPr>
          <w:p w14:paraId="327F186E" w14:textId="5C096F6F" w:rsidR="00672486" w:rsidRPr="00F4718F" w:rsidRDefault="00672486" w:rsidP="00672486">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672486" w14:paraId="4710BDA8" w14:textId="77777777" w:rsidTr="00821912">
        <w:tc>
          <w:tcPr>
            <w:tcW w:w="9926" w:type="dxa"/>
            <w:gridSpan w:val="3"/>
            <w:shd w:val="clear" w:color="auto" w:fill="FFF2CC" w:themeFill="accent4" w:themeFillTint="33"/>
          </w:tcPr>
          <w:p w14:paraId="60BF335B" w14:textId="296A37FB" w:rsidR="00672486" w:rsidRPr="00F4718F" w:rsidRDefault="00672486" w:rsidP="00672486">
            <w:pPr>
              <w:rPr>
                <w:rFonts w:ascii="Helvetica Neue" w:hAnsi="Helvetica Neue"/>
                <w:sz w:val="22"/>
                <w:szCs w:val="22"/>
              </w:rPr>
            </w:pPr>
            <w:r>
              <w:rPr>
                <w:rFonts w:ascii="Helvetica Neue" w:hAnsi="Helvetica Neue"/>
                <w:sz w:val="22"/>
                <w:szCs w:val="22"/>
              </w:rPr>
              <w:t>The Math Department is essentially a department that offers many service courses which are required in other disciplines. Although the number of declared math majors may be small, most other majors require a certain level of math in their curriculum. These needs of students requiring math classes is ongoing and with the advent of a more technological society, we do not see that math enrollment trends will decline in the future. It should also be noted that the new funding formula for community colleges requires that students achieve a certain level of math in their first year.</w:t>
            </w:r>
          </w:p>
          <w:p w14:paraId="198965BD" w14:textId="2D8EF7A5" w:rsidR="00672486" w:rsidRPr="00F4718F" w:rsidRDefault="00672486" w:rsidP="00672486">
            <w:pPr>
              <w:rPr>
                <w:rFonts w:ascii="Helvetica Neue" w:hAnsi="Helvetica Neue"/>
                <w:sz w:val="22"/>
                <w:szCs w:val="22"/>
              </w:rPr>
            </w:pPr>
          </w:p>
        </w:tc>
      </w:tr>
      <w:tr w:rsidR="00672486" w14:paraId="7D5C68EC" w14:textId="77777777" w:rsidTr="00F4718F">
        <w:tc>
          <w:tcPr>
            <w:tcW w:w="9926" w:type="dxa"/>
            <w:gridSpan w:val="3"/>
          </w:tcPr>
          <w:p w14:paraId="45342AD8" w14:textId="719C4F50" w:rsidR="00672486" w:rsidRPr="00F4718F" w:rsidRDefault="00672486" w:rsidP="00672486">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672486" w14:paraId="0E8367D9" w14:textId="77777777" w:rsidTr="00821912">
        <w:tc>
          <w:tcPr>
            <w:tcW w:w="9926" w:type="dxa"/>
            <w:gridSpan w:val="3"/>
            <w:shd w:val="clear" w:color="auto" w:fill="FFF2CC" w:themeFill="accent4" w:themeFillTint="33"/>
          </w:tcPr>
          <w:p w14:paraId="39347C3D" w14:textId="77777777" w:rsidR="00672486" w:rsidRDefault="00672486" w:rsidP="00672486">
            <w:pPr>
              <w:rPr>
                <w:rFonts w:ascii="Helvetica Neue" w:hAnsi="Helvetica Neue"/>
              </w:rPr>
            </w:pPr>
          </w:p>
          <w:p w14:paraId="5AB6558F" w14:textId="492CF722" w:rsidR="00672486" w:rsidRDefault="00672486" w:rsidP="00672486">
            <w:pPr>
              <w:rPr>
                <w:rFonts w:ascii="Helvetica Neue" w:hAnsi="Helvetica Neue"/>
              </w:rPr>
            </w:pPr>
            <w:r>
              <w:rPr>
                <w:rFonts w:ascii="Helvetica Neue" w:hAnsi="Helvetica Neue"/>
              </w:rPr>
              <w:t>AB705</w:t>
            </w:r>
            <w:r w:rsidR="000930DE">
              <w:rPr>
                <w:rFonts w:ascii="Helvetica Neue" w:hAnsi="Helvetica Neue"/>
              </w:rPr>
              <w:t xml:space="preserve"> has changed how we offer our classes. The majority of our class offerings are now Math 1 and Math 13 since our remedial offerings are now minimal. Dual enrollments are also a method of increasing our enrollments, note our collaboration with Berkeley High and the Oakland School of the Arts. We are also looking into forming a partnership with Berkeley Adult School. </w:t>
            </w:r>
          </w:p>
          <w:p w14:paraId="65DDF16A" w14:textId="515C3DA9" w:rsidR="00672486" w:rsidRDefault="00672486" w:rsidP="00672486">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0930DE">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0930DE">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7B4B37AF" w:rsidR="009C2B01" w:rsidRPr="000930DE" w:rsidRDefault="000930DE" w:rsidP="000930DE">
            <w:pPr>
              <w:rPr>
                <w:rFonts w:ascii="Helvetica Neue" w:hAnsi="Helvetica Neue"/>
              </w:rPr>
            </w:pPr>
            <w:r w:rsidRPr="000930DE">
              <w:rPr>
                <w:rFonts w:ascii="Helvetica Neue" w:hAnsi="Helvetica Neue"/>
              </w:rPr>
              <w:t>Math</w:t>
            </w:r>
          </w:p>
        </w:tc>
      </w:tr>
      <w:tr w:rsidR="009C2B01" w:rsidRPr="00EC7286" w14:paraId="2370A42B" w14:textId="77777777" w:rsidTr="00821912">
        <w:tc>
          <w:tcPr>
            <w:tcW w:w="3196" w:type="dxa"/>
          </w:tcPr>
          <w:p w14:paraId="32EC47C4" w14:textId="77777777" w:rsidR="009C2B01" w:rsidRPr="00EC7286" w:rsidRDefault="009C2B01" w:rsidP="000930DE">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36B870C1" w:rsidR="009C2B01" w:rsidRPr="000930DE" w:rsidRDefault="000930DE" w:rsidP="000930DE">
            <w:pPr>
              <w:rPr>
                <w:rFonts w:ascii="Helvetica Neue" w:hAnsi="Helvetica Neue"/>
              </w:rPr>
            </w:pPr>
            <w:r w:rsidRPr="000930DE">
              <w:rPr>
                <w:rFonts w:ascii="Helvetica Neue" w:hAnsi="Helvetica Neue"/>
              </w:rPr>
              <w:t>Collaboration with other schools and organizations.</w:t>
            </w:r>
          </w:p>
        </w:tc>
      </w:tr>
      <w:tr w:rsidR="009C2B01" w:rsidRPr="00EC7286" w14:paraId="64F2D414" w14:textId="77777777" w:rsidTr="00821912">
        <w:tc>
          <w:tcPr>
            <w:tcW w:w="3196" w:type="dxa"/>
          </w:tcPr>
          <w:p w14:paraId="3356D62C" w14:textId="77777777" w:rsidR="009C2B01" w:rsidRPr="00EC7286" w:rsidRDefault="009C2B01" w:rsidP="000930DE">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50BBE58E" w:rsidR="009C2B01" w:rsidRPr="000930DE" w:rsidRDefault="000930DE" w:rsidP="000930DE">
            <w:pPr>
              <w:rPr>
                <w:rFonts w:ascii="Helvetica Neue" w:hAnsi="Helvetica Neue"/>
              </w:rPr>
            </w:pPr>
            <w:r w:rsidRPr="000930DE">
              <w:rPr>
                <w:rFonts w:ascii="Helvetica Neue" w:hAnsi="Helvetica Neue"/>
              </w:rPr>
              <w:t>Increase the number of dual enrollment sections offered.</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lastRenderedPageBreak/>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05C0BC2D" w:rsidR="009C2B01" w:rsidRPr="000930DE" w:rsidRDefault="000930DE" w:rsidP="000930DE">
            <w:pPr>
              <w:rPr>
                <w:rFonts w:ascii="Helvetica Neue" w:hAnsi="Helvetica Neue"/>
              </w:rPr>
            </w:pPr>
            <w:r w:rsidRPr="000930DE">
              <w:rPr>
                <w:rFonts w:ascii="Helvetica Neue" w:hAnsi="Helvetica Neue"/>
              </w:rPr>
              <w:t>Ongoing</w:t>
            </w:r>
          </w:p>
        </w:tc>
      </w:tr>
      <w:tr w:rsidR="009C2B01" w:rsidRPr="00EC7286" w14:paraId="34B20701" w14:textId="77777777" w:rsidTr="00821912">
        <w:tc>
          <w:tcPr>
            <w:tcW w:w="3196" w:type="dxa"/>
          </w:tcPr>
          <w:p w14:paraId="471FA79E" w14:textId="77777777" w:rsidR="009C2B01" w:rsidRPr="00EC7286" w:rsidRDefault="009C2B01" w:rsidP="000930DE">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EE0E881" w:rsidR="009C2B01" w:rsidRPr="000930DE" w:rsidRDefault="000930DE" w:rsidP="000930DE">
            <w:pPr>
              <w:rPr>
                <w:rFonts w:ascii="Helvetica Neue" w:hAnsi="Helvetica Neue"/>
              </w:rPr>
            </w:pPr>
            <w:r w:rsidRPr="000930DE">
              <w:rPr>
                <w:rFonts w:ascii="Helvetica Neue" w:hAnsi="Helvetica Neue"/>
              </w:rPr>
              <w:t>Math Faculty and BCC Administration</w:t>
            </w:r>
          </w:p>
        </w:tc>
      </w:tr>
    </w:tbl>
    <w:p w14:paraId="57540F35" w14:textId="57DC0581" w:rsidR="009C2B01" w:rsidRDefault="009C2B01" w:rsidP="00591A55">
      <w:pPr>
        <w:pStyle w:val="NoSpacing"/>
        <w:rPr>
          <w:rFonts w:ascii="Helvetica Neue" w:hAnsi="Helvetica Neue"/>
        </w:rPr>
      </w:pPr>
    </w:p>
    <w:p w14:paraId="2ECBFDE8" w14:textId="6BB2EAF0" w:rsidR="00011FFF" w:rsidRDefault="00011FFF" w:rsidP="00591A55">
      <w:pPr>
        <w:pStyle w:val="NoSpacing"/>
        <w:rPr>
          <w:rFonts w:ascii="Helvetica Neue" w:hAnsi="Helvetica Neue"/>
        </w:rPr>
      </w:pPr>
    </w:p>
    <w:p w14:paraId="49EBE8AE" w14:textId="77777777" w:rsidR="00011FFF" w:rsidRPr="00EC7286" w:rsidRDefault="00011FFF"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1DEBD019" w14:textId="11C92458" w:rsidR="00266533" w:rsidRDefault="00A24445" w:rsidP="006B1C11">
            <w:pPr>
              <w:rPr>
                <w:rFonts w:ascii="Helvetica Neue" w:hAnsi="Helvetica Neue"/>
                <w:color w:val="000000" w:themeColor="text1"/>
                <w:sz w:val="22"/>
                <w:szCs w:val="22"/>
              </w:rPr>
            </w:pPr>
            <w:r>
              <w:rPr>
                <w:rFonts w:ascii="Helvetica Neue" w:hAnsi="Helvetica Neue"/>
                <w:color w:val="000000" w:themeColor="text1"/>
                <w:sz w:val="22"/>
                <w:szCs w:val="22"/>
              </w:rPr>
              <w:t>The math department is up to date on assessments in all courses. Within Curricunet, it shows that Math 3C was not assessed in Fall 2020. It was; the data has not yet been submitted.</w:t>
            </w:r>
          </w:p>
          <w:p w14:paraId="6C840142" w14:textId="1F313126" w:rsidR="008A2055" w:rsidRDefault="008A2055" w:rsidP="006B1C11">
            <w:pPr>
              <w:rPr>
                <w:rFonts w:ascii="Helvetica Neue" w:hAnsi="Helvetica Neue"/>
                <w:color w:val="000000" w:themeColor="text1"/>
                <w:sz w:val="22"/>
                <w:szCs w:val="22"/>
              </w:rPr>
            </w:pPr>
          </w:p>
          <w:p w14:paraId="3D372F22" w14:textId="2A883108" w:rsidR="008A2055" w:rsidRDefault="008A2055"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The department offers several sections of the same course. To collect consistent SLO assessment data, the department uses a common SLO exam for each course and an assessment rubric to score each student who takes the exam. </w:t>
            </w:r>
          </w:p>
          <w:p w14:paraId="45CDC0A5" w14:textId="01645163" w:rsidR="008A2055" w:rsidRDefault="008A2055" w:rsidP="006B1C11">
            <w:pPr>
              <w:rPr>
                <w:rFonts w:ascii="Helvetica Neue" w:hAnsi="Helvetica Neue"/>
                <w:color w:val="000000" w:themeColor="text1"/>
                <w:sz w:val="22"/>
                <w:szCs w:val="22"/>
              </w:rPr>
            </w:pPr>
          </w:p>
          <w:p w14:paraId="0092F579" w14:textId="240AA995" w:rsidR="008A2055" w:rsidRDefault="008A2055" w:rsidP="006B1C11">
            <w:pPr>
              <w:rPr>
                <w:rFonts w:ascii="Helvetica Neue" w:hAnsi="Helvetica Neue"/>
                <w:color w:val="000000" w:themeColor="text1"/>
                <w:sz w:val="22"/>
                <w:szCs w:val="22"/>
              </w:rPr>
            </w:pPr>
            <w:r>
              <w:rPr>
                <w:rFonts w:ascii="Helvetica Neue" w:hAnsi="Helvetica Neue"/>
                <w:color w:val="000000" w:themeColor="text1"/>
                <w:sz w:val="22"/>
                <w:szCs w:val="22"/>
              </w:rPr>
              <w:t>In recent meetings this year to discuss SLO assessment, our department has expressed concerns</w:t>
            </w:r>
            <w:r w:rsidR="00C10055">
              <w:rPr>
                <w:rFonts w:ascii="Helvetica Neue" w:hAnsi="Helvetica Neue"/>
                <w:color w:val="000000" w:themeColor="text1"/>
                <w:sz w:val="22"/>
                <w:szCs w:val="22"/>
              </w:rPr>
              <w:t xml:space="preserve"> about the accuracy of our SLO results. F</w:t>
            </w:r>
            <w:r>
              <w:rPr>
                <w:rFonts w:ascii="Helvetica Neue" w:hAnsi="Helvetica Neue"/>
                <w:color w:val="000000" w:themeColor="text1"/>
                <w:sz w:val="22"/>
                <w:szCs w:val="22"/>
              </w:rPr>
              <w:t xml:space="preserve">or each SLO in a course, we only use one math problem to assess student mastery. If a student is weak in a particular topic, they may not demonstrate proficiency or mastery on the SLO </w:t>
            </w:r>
            <w:r w:rsidR="0011518F">
              <w:rPr>
                <w:rFonts w:ascii="Helvetica Neue" w:hAnsi="Helvetica Neue"/>
                <w:color w:val="000000" w:themeColor="text1"/>
                <w:sz w:val="22"/>
                <w:szCs w:val="22"/>
              </w:rPr>
              <w:t>exam</w:t>
            </w:r>
            <w:r>
              <w:rPr>
                <w:rFonts w:ascii="Helvetica Neue" w:hAnsi="Helvetica Neue"/>
                <w:color w:val="000000" w:themeColor="text1"/>
                <w:sz w:val="22"/>
                <w:szCs w:val="22"/>
              </w:rPr>
              <w:t xml:space="preserve"> if the single SLO exam question is on that topic. However, there are many topics within a math course that can be applied to a specific SLO (eg for calculation, interpretation, analysis, representation, and communication). The student may indeed be proficient in the SLO, yet score below proficiency on the SLO exam. Therefore, our common SLO exams assessment results may not accurately reflect </w:t>
            </w:r>
            <w:r w:rsidR="00C10055">
              <w:rPr>
                <w:rFonts w:ascii="Helvetica Neue" w:hAnsi="Helvetica Neue"/>
                <w:color w:val="000000" w:themeColor="text1"/>
                <w:sz w:val="22"/>
                <w:szCs w:val="22"/>
              </w:rPr>
              <w:t>student learning and mastery.</w:t>
            </w:r>
            <w:r>
              <w:rPr>
                <w:rFonts w:ascii="Helvetica Neue" w:hAnsi="Helvetica Neue"/>
                <w:color w:val="000000" w:themeColor="text1"/>
                <w:sz w:val="22"/>
                <w:szCs w:val="22"/>
              </w:rPr>
              <w:t xml:space="preserve"> </w:t>
            </w:r>
          </w:p>
          <w:p w14:paraId="29CC01F5" w14:textId="77777777" w:rsidR="00A24445" w:rsidRDefault="00A24445" w:rsidP="006B1C11">
            <w:pPr>
              <w:rPr>
                <w:rFonts w:ascii="Helvetica Neue" w:hAnsi="Helvetica Neue"/>
                <w:color w:val="000000" w:themeColor="text1"/>
                <w:sz w:val="22"/>
                <w:szCs w:val="22"/>
              </w:rPr>
            </w:pPr>
          </w:p>
          <w:p w14:paraId="6138244E" w14:textId="1630E9B8" w:rsidR="00A24445" w:rsidRPr="00266533" w:rsidRDefault="00A24445" w:rsidP="006B1C11">
            <w:pPr>
              <w:rPr>
                <w:rFonts w:ascii="Helvetica Neue" w:hAnsi="Helvetica Neue"/>
                <w:color w:val="000000" w:themeColor="text1"/>
                <w:sz w:val="22"/>
                <w:szCs w:val="22"/>
              </w:rPr>
            </w:pPr>
            <w:r>
              <w:rPr>
                <w:rFonts w:ascii="Helvetica Neue" w:hAnsi="Helvetica Neue"/>
                <w:color w:val="000000" w:themeColor="text1"/>
                <w:sz w:val="22"/>
                <w:szCs w:val="22"/>
              </w:rPr>
              <w:t>The department offers one program: an Associate of Science Degree for Transfer (AS-T). We have recently experienced a high turnover in the SLO Liaison position. The department should plan for a PLO assessment and review in the coming year.</w:t>
            </w: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742E4B94" w14:textId="77777777" w:rsidR="00B865DC" w:rsidRDefault="00A24445" w:rsidP="00A24445">
            <w:pPr>
              <w:rPr>
                <w:rFonts w:ascii="Helvetica Neue" w:hAnsi="Helvetica Neue"/>
                <w:color w:val="000000" w:themeColor="text1"/>
                <w:sz w:val="22"/>
                <w:szCs w:val="22"/>
              </w:rPr>
            </w:pPr>
            <w:r>
              <w:rPr>
                <w:rFonts w:ascii="Helvetica Neue" w:hAnsi="Helvetica Neue"/>
                <w:color w:val="000000" w:themeColor="text1"/>
                <w:sz w:val="22"/>
                <w:szCs w:val="22"/>
              </w:rPr>
              <w:t>The math department has met a few times with the Assessment Committee Chair and Curriculum Specialist to help assist in making improvements to our SLO data collection.</w:t>
            </w:r>
          </w:p>
          <w:p w14:paraId="09CC9E5D" w14:textId="77777777" w:rsidR="00B865DC" w:rsidRDefault="00B865DC" w:rsidP="00A24445">
            <w:pPr>
              <w:rPr>
                <w:rFonts w:ascii="Helvetica Neue" w:hAnsi="Helvetica Neue"/>
                <w:color w:val="000000" w:themeColor="text1"/>
                <w:sz w:val="22"/>
                <w:szCs w:val="22"/>
              </w:rPr>
            </w:pPr>
          </w:p>
          <w:p w14:paraId="22A11A1C" w14:textId="07F04EBB" w:rsidR="00266533" w:rsidRDefault="00A24445"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In May 2021, we decided to move towards having each instructor input their own SLO data into Curricunet. In the past, The SLO Liaison collected data from each instructor and then submitted a collective report into Curricunet. </w:t>
            </w:r>
            <w:r w:rsidR="00B865DC">
              <w:rPr>
                <w:rFonts w:ascii="Helvetica Neue" w:hAnsi="Helvetica Neue"/>
                <w:color w:val="000000" w:themeColor="text1"/>
                <w:sz w:val="22"/>
                <w:szCs w:val="22"/>
              </w:rPr>
              <w:t xml:space="preserve">Having each instructor submit their individual SLO results will help help us analyze the learning and mastery of courses offered in different modalities (face-to-face, hybrid, and online). </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lastRenderedPageBreak/>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2">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63C22E5C" w:rsidR="00266533" w:rsidRPr="00D73E71" w:rsidRDefault="00C52C08" w:rsidP="006B1C11">
            <w:pPr>
              <w:rPr>
                <w:rFonts w:ascii="Segoe UI" w:hAnsi="Segoe UI" w:cs="Segoe UI"/>
                <w:color w:val="000000" w:themeColor="text1"/>
                <w:sz w:val="20"/>
                <w:szCs w:val="20"/>
              </w:rPr>
            </w:pPr>
            <w:r w:rsidRPr="00D73E71">
              <w:rPr>
                <w:rFonts w:ascii="Segoe UI" w:hAnsi="Segoe UI" w:cs="Segoe UI"/>
                <w:color w:val="000000" w:themeColor="text1"/>
                <w:sz w:val="20"/>
                <w:szCs w:val="20"/>
              </w:rPr>
              <w:t>As mentioned above, the math department acknowledges that the SLO results for many student learning items may not be accurate because we only use one exam question to assess each SLO.</w:t>
            </w:r>
          </w:p>
          <w:p w14:paraId="2B795944" w14:textId="69623F65" w:rsidR="000D0041" w:rsidRPr="00D73E71" w:rsidRDefault="000D0041" w:rsidP="006B1C11">
            <w:pPr>
              <w:rPr>
                <w:rFonts w:ascii="Segoe UI" w:hAnsi="Segoe UI" w:cs="Segoe UI"/>
                <w:color w:val="000000" w:themeColor="text1"/>
                <w:sz w:val="20"/>
                <w:szCs w:val="20"/>
              </w:rPr>
            </w:pPr>
          </w:p>
          <w:p w14:paraId="68446A90" w14:textId="04A1F435" w:rsidR="000D0041" w:rsidRPr="00D73E71" w:rsidRDefault="000D0041" w:rsidP="000D0041">
            <w:pPr>
              <w:rPr>
                <w:rFonts w:ascii="Segoe UI" w:hAnsi="Segoe UI" w:cs="Segoe UI"/>
                <w:color w:val="000000"/>
                <w:sz w:val="20"/>
                <w:szCs w:val="20"/>
              </w:rPr>
            </w:pPr>
            <w:r w:rsidRPr="00D73E71">
              <w:rPr>
                <w:rFonts w:ascii="Segoe UI" w:hAnsi="Segoe UI" w:cs="Segoe UI"/>
                <w:color w:val="000000" w:themeColor="text1"/>
                <w:sz w:val="20"/>
                <w:szCs w:val="20"/>
              </w:rPr>
              <w:t xml:space="preserve">Recently, the college received an Accreditation recommendation to improve the college's </w:t>
            </w:r>
            <w:r w:rsidRPr="00D73E71">
              <w:rPr>
                <w:rFonts w:ascii="Segoe UI" w:hAnsi="Segoe UI" w:cs="Segoe UI"/>
                <w:color w:val="000000"/>
                <w:sz w:val="20"/>
                <w:szCs w:val="20"/>
              </w:rPr>
              <w:t>consistent use of disaggregated student data for informing decisions, in particular in the area of student learning outcomes assessment.</w:t>
            </w:r>
          </w:p>
          <w:p w14:paraId="5422364C" w14:textId="3F89DF6C" w:rsidR="000D0041" w:rsidRPr="00D73E71" w:rsidRDefault="000D0041" w:rsidP="000D0041">
            <w:pPr>
              <w:rPr>
                <w:rFonts w:ascii="Segoe UI" w:hAnsi="Segoe UI" w:cs="Segoe UI"/>
                <w:sz w:val="20"/>
                <w:szCs w:val="20"/>
              </w:rPr>
            </w:pPr>
          </w:p>
          <w:p w14:paraId="274CF599" w14:textId="1D788DC3" w:rsidR="000D0041" w:rsidRPr="00D73E71" w:rsidRDefault="000D0041" w:rsidP="000D0041">
            <w:pPr>
              <w:rPr>
                <w:rFonts w:ascii="Segoe UI" w:hAnsi="Segoe UI" w:cs="Segoe UI"/>
                <w:sz w:val="20"/>
                <w:szCs w:val="20"/>
              </w:rPr>
            </w:pPr>
            <w:r w:rsidRPr="00D73E71">
              <w:rPr>
                <w:rFonts w:ascii="Segoe UI" w:hAnsi="Segoe UI" w:cs="Segoe UI"/>
                <w:sz w:val="20"/>
                <w:szCs w:val="20"/>
              </w:rPr>
              <w:t>For this reason, the math department has decided on the following improvement plan:</w:t>
            </w:r>
          </w:p>
          <w:p w14:paraId="34E3308E" w14:textId="0ACA92B4" w:rsidR="000D0041" w:rsidRPr="00D73E71" w:rsidRDefault="000D0041" w:rsidP="000D0041">
            <w:pPr>
              <w:rPr>
                <w:rFonts w:ascii="Segoe UI" w:hAnsi="Segoe UI" w:cs="Segoe UI"/>
                <w:sz w:val="20"/>
                <w:szCs w:val="20"/>
              </w:rPr>
            </w:pPr>
          </w:p>
          <w:p w14:paraId="545859DA" w14:textId="54BE3524" w:rsidR="00E35C34" w:rsidRPr="00D73E71" w:rsidRDefault="000D0041" w:rsidP="000D0041">
            <w:pPr>
              <w:rPr>
                <w:rFonts w:ascii="Segoe UI" w:hAnsi="Segoe UI" w:cs="Segoe UI"/>
                <w:sz w:val="20"/>
                <w:szCs w:val="20"/>
              </w:rPr>
            </w:pPr>
            <w:r w:rsidRPr="00D73E71">
              <w:rPr>
                <w:rFonts w:ascii="Segoe UI" w:hAnsi="Segoe UI" w:cs="Segoe UI"/>
                <w:sz w:val="20"/>
                <w:szCs w:val="20"/>
              </w:rPr>
              <w:t>-</w:t>
            </w:r>
            <w:r w:rsidR="00E35C34" w:rsidRPr="00D73E71">
              <w:rPr>
                <w:rFonts w:ascii="Segoe UI" w:hAnsi="Segoe UI" w:cs="Segoe UI"/>
                <w:sz w:val="20"/>
                <w:szCs w:val="20"/>
              </w:rPr>
              <w:t xml:space="preserve"> </w:t>
            </w:r>
            <w:r w:rsidR="00AF0348" w:rsidRPr="00D73E71">
              <w:rPr>
                <w:rFonts w:ascii="Segoe UI" w:hAnsi="Segoe UI" w:cs="Segoe UI"/>
                <w:sz w:val="20"/>
                <w:szCs w:val="20"/>
              </w:rPr>
              <w:t xml:space="preserve">(Fall 2021) </w:t>
            </w:r>
            <w:r w:rsidR="00E35C34" w:rsidRPr="00D73E71">
              <w:rPr>
                <w:rFonts w:ascii="Segoe UI" w:hAnsi="Segoe UI" w:cs="Segoe UI"/>
                <w:sz w:val="20"/>
                <w:szCs w:val="20"/>
              </w:rPr>
              <w:t>Math faculty will submit their own individual SLO assessment results to Curricunet. This will improve data analysis of math courses offered in different modalities (online, face-to-face, hybrid).</w:t>
            </w:r>
            <w:r w:rsidR="00E52169" w:rsidRPr="00D73E71">
              <w:rPr>
                <w:rFonts w:ascii="Segoe UI" w:hAnsi="Segoe UI" w:cs="Segoe UI"/>
                <w:sz w:val="20"/>
                <w:szCs w:val="20"/>
              </w:rPr>
              <w:t>\</w:t>
            </w:r>
          </w:p>
          <w:p w14:paraId="08399C96" w14:textId="7EC75B7B" w:rsidR="00E52169" w:rsidRPr="00D73E71" w:rsidRDefault="00E52169" w:rsidP="000D0041">
            <w:pPr>
              <w:rPr>
                <w:rFonts w:ascii="Segoe UI" w:hAnsi="Segoe UI" w:cs="Segoe UI"/>
                <w:sz w:val="20"/>
                <w:szCs w:val="20"/>
              </w:rPr>
            </w:pPr>
            <w:r w:rsidRPr="00D73E71">
              <w:rPr>
                <w:rFonts w:ascii="Segoe UI" w:hAnsi="Segoe UI" w:cs="Segoe UI"/>
                <w:sz w:val="20"/>
                <w:szCs w:val="20"/>
              </w:rPr>
              <w:t xml:space="preserve">      - Offer workshops/training sessions to math faculty on how to submit SLO data results and Action Plans to </w:t>
            </w:r>
            <w:r w:rsidR="00D73E71">
              <w:rPr>
                <w:rFonts w:ascii="Segoe UI" w:hAnsi="Segoe UI" w:cs="Segoe UI"/>
                <w:sz w:val="20"/>
                <w:szCs w:val="20"/>
              </w:rPr>
              <w:t xml:space="preserve">    </w:t>
            </w:r>
            <w:r w:rsidRPr="00D73E71">
              <w:rPr>
                <w:rFonts w:ascii="Segoe UI" w:hAnsi="Segoe UI" w:cs="Segoe UI"/>
                <w:sz w:val="20"/>
                <w:szCs w:val="20"/>
              </w:rPr>
              <w:t>Currcinet</w:t>
            </w:r>
          </w:p>
          <w:p w14:paraId="0AEB7064" w14:textId="77777777" w:rsidR="00E35C34" w:rsidRPr="00D73E71" w:rsidRDefault="00E35C34" w:rsidP="000D0041">
            <w:pPr>
              <w:rPr>
                <w:rFonts w:ascii="Segoe UI" w:hAnsi="Segoe UI" w:cs="Segoe UI"/>
                <w:sz w:val="20"/>
                <w:szCs w:val="20"/>
              </w:rPr>
            </w:pPr>
          </w:p>
          <w:p w14:paraId="44C31615" w14:textId="392AB0CB" w:rsidR="00E35C34" w:rsidRPr="00D73E71" w:rsidRDefault="00E35C34" w:rsidP="000D0041">
            <w:pPr>
              <w:rPr>
                <w:rFonts w:ascii="Segoe UI" w:hAnsi="Segoe UI" w:cs="Segoe UI"/>
                <w:sz w:val="20"/>
                <w:szCs w:val="20"/>
              </w:rPr>
            </w:pPr>
            <w:r w:rsidRPr="00D73E71">
              <w:rPr>
                <w:rFonts w:ascii="Segoe UI" w:hAnsi="Segoe UI" w:cs="Segoe UI"/>
                <w:sz w:val="20"/>
                <w:szCs w:val="20"/>
              </w:rPr>
              <w:t xml:space="preserve">- </w:t>
            </w:r>
            <w:r w:rsidR="00AF0348" w:rsidRPr="00D73E71">
              <w:rPr>
                <w:rFonts w:ascii="Segoe UI" w:hAnsi="Segoe UI" w:cs="Segoe UI"/>
                <w:sz w:val="20"/>
                <w:szCs w:val="20"/>
              </w:rPr>
              <w:t xml:space="preserve">(Spring 2021) </w:t>
            </w:r>
            <w:r w:rsidRPr="00D73E71">
              <w:rPr>
                <w:rFonts w:ascii="Segoe UI" w:hAnsi="Segoe UI" w:cs="Segoe UI"/>
                <w:sz w:val="20"/>
                <w:szCs w:val="20"/>
              </w:rPr>
              <w:t xml:space="preserve">Administer SLO Assessments via Canvas so we may collect SLO assessment data disaggregated by ethnic background, gender, etc. </w:t>
            </w:r>
          </w:p>
          <w:p w14:paraId="657B3BCD" w14:textId="77777777" w:rsidR="00E35C34" w:rsidRPr="00D73E71" w:rsidRDefault="00E35C34" w:rsidP="000D0041">
            <w:pPr>
              <w:rPr>
                <w:rFonts w:ascii="Segoe UI" w:hAnsi="Segoe UI" w:cs="Segoe UI"/>
                <w:sz w:val="20"/>
                <w:szCs w:val="20"/>
              </w:rPr>
            </w:pPr>
            <w:r w:rsidRPr="00D73E71">
              <w:rPr>
                <w:rFonts w:ascii="Segoe UI" w:hAnsi="Segoe UI" w:cs="Segoe UI"/>
                <w:sz w:val="20"/>
                <w:szCs w:val="20"/>
              </w:rPr>
              <w:t xml:space="preserve">      - </w:t>
            </w:r>
            <w:r w:rsidR="000D0041" w:rsidRPr="00D73E71">
              <w:rPr>
                <w:rFonts w:ascii="Segoe UI" w:hAnsi="Segoe UI" w:cs="Segoe UI"/>
                <w:sz w:val="20"/>
                <w:szCs w:val="20"/>
              </w:rPr>
              <w:t>Add all math faculty as "instructors" to the Math Resources Canvas shell that has already been created.</w:t>
            </w:r>
          </w:p>
          <w:p w14:paraId="486A8A03" w14:textId="190A761A" w:rsidR="000D0041" w:rsidRPr="00D73E71" w:rsidRDefault="00E35C34" w:rsidP="000D0041">
            <w:pPr>
              <w:rPr>
                <w:rFonts w:ascii="Segoe UI" w:hAnsi="Segoe UI" w:cs="Segoe UI"/>
                <w:sz w:val="20"/>
                <w:szCs w:val="20"/>
              </w:rPr>
            </w:pPr>
            <w:r w:rsidRPr="00D73E71">
              <w:rPr>
                <w:rFonts w:ascii="Segoe UI" w:hAnsi="Segoe UI" w:cs="Segoe UI"/>
                <w:sz w:val="20"/>
                <w:szCs w:val="20"/>
              </w:rPr>
              <w:t xml:space="preserve">      - </w:t>
            </w:r>
            <w:r w:rsidR="000D0041" w:rsidRPr="00D73E71">
              <w:rPr>
                <w:rFonts w:ascii="Segoe UI" w:hAnsi="Segoe UI" w:cs="Segoe UI"/>
                <w:sz w:val="20"/>
                <w:szCs w:val="20"/>
              </w:rPr>
              <w:t>Add Rubrics and Outcomes for each student learning outcome within this Math Resources shell so that all math faculty have access to the outcomes to assign/align for any assignment they give to students.</w:t>
            </w:r>
          </w:p>
          <w:p w14:paraId="186AB213" w14:textId="5733ED6D" w:rsidR="000D0041" w:rsidRPr="00D73E71" w:rsidRDefault="00E35C34" w:rsidP="000D0041">
            <w:pPr>
              <w:rPr>
                <w:rFonts w:ascii="Segoe UI" w:hAnsi="Segoe UI" w:cs="Segoe UI"/>
                <w:sz w:val="20"/>
                <w:szCs w:val="20"/>
              </w:rPr>
            </w:pPr>
            <w:r w:rsidRPr="00D73E71">
              <w:rPr>
                <w:rFonts w:ascii="Segoe UI" w:hAnsi="Segoe UI" w:cs="Segoe UI"/>
                <w:sz w:val="20"/>
                <w:szCs w:val="20"/>
              </w:rPr>
              <w:t xml:space="preserve">      </w:t>
            </w:r>
            <w:r w:rsidR="000D0041" w:rsidRPr="00D73E71">
              <w:rPr>
                <w:rFonts w:ascii="Segoe UI" w:hAnsi="Segoe UI" w:cs="Segoe UI"/>
                <w:sz w:val="20"/>
                <w:szCs w:val="20"/>
              </w:rPr>
              <w:t xml:space="preserve">- Add </w:t>
            </w:r>
            <w:r w:rsidRPr="00D73E71">
              <w:rPr>
                <w:rFonts w:ascii="Segoe UI" w:hAnsi="Segoe UI" w:cs="Segoe UI"/>
                <w:sz w:val="20"/>
                <w:szCs w:val="20"/>
              </w:rPr>
              <w:t>all common SLO assessment exams for each course and align Canvas Rubrics and outcomes to each exam. This will give access to all math faculty to import SLO exams to all of their future courses.</w:t>
            </w:r>
          </w:p>
          <w:p w14:paraId="7E2859BE" w14:textId="77777777" w:rsidR="00E35C34" w:rsidRPr="00D73E71" w:rsidRDefault="00E35C34" w:rsidP="000D0041">
            <w:pPr>
              <w:rPr>
                <w:rFonts w:ascii="Segoe UI" w:hAnsi="Segoe UI" w:cs="Segoe UI"/>
                <w:sz w:val="20"/>
                <w:szCs w:val="20"/>
              </w:rPr>
            </w:pPr>
          </w:p>
          <w:p w14:paraId="723A017B" w14:textId="1606C6C0" w:rsidR="00E35C34" w:rsidRPr="00D73E71" w:rsidRDefault="00E35C34" w:rsidP="000D0041">
            <w:pPr>
              <w:rPr>
                <w:rFonts w:ascii="Segoe UI" w:hAnsi="Segoe UI" w:cs="Segoe UI"/>
                <w:sz w:val="20"/>
                <w:szCs w:val="20"/>
              </w:rPr>
            </w:pPr>
            <w:r w:rsidRPr="00D73E71">
              <w:rPr>
                <w:rFonts w:ascii="Segoe UI" w:hAnsi="Segoe UI" w:cs="Segoe UI"/>
                <w:sz w:val="20"/>
                <w:szCs w:val="20"/>
              </w:rPr>
              <w:t xml:space="preserve">- </w:t>
            </w:r>
            <w:r w:rsidR="00D73E71">
              <w:rPr>
                <w:rFonts w:ascii="Segoe UI" w:hAnsi="Segoe UI" w:cs="Segoe UI"/>
                <w:sz w:val="20"/>
                <w:szCs w:val="20"/>
              </w:rPr>
              <w:t>(Spr</w:t>
            </w:r>
            <w:r w:rsidR="00AF0348" w:rsidRPr="00D73E71">
              <w:rPr>
                <w:rFonts w:ascii="Segoe UI" w:hAnsi="Segoe UI" w:cs="Segoe UI"/>
                <w:sz w:val="20"/>
                <w:szCs w:val="20"/>
              </w:rPr>
              <w:t xml:space="preserve">ing 2021) </w:t>
            </w:r>
            <w:r w:rsidRPr="00D73E71">
              <w:rPr>
                <w:rFonts w:ascii="Segoe UI" w:hAnsi="Segoe UI" w:cs="Segoe UI"/>
                <w:sz w:val="20"/>
                <w:szCs w:val="20"/>
              </w:rPr>
              <w:t>Assess each SLO with more than one math problem.</w:t>
            </w:r>
          </w:p>
          <w:p w14:paraId="40A7C208" w14:textId="3A675244" w:rsidR="00E35C34" w:rsidRPr="00D73E71" w:rsidRDefault="00E35C34" w:rsidP="000D0041">
            <w:pPr>
              <w:rPr>
                <w:rFonts w:ascii="Segoe UI" w:hAnsi="Segoe UI" w:cs="Segoe UI"/>
                <w:sz w:val="20"/>
                <w:szCs w:val="20"/>
              </w:rPr>
            </w:pPr>
            <w:r w:rsidRPr="00D73E71">
              <w:rPr>
                <w:rFonts w:ascii="Segoe UI" w:hAnsi="Segoe UI" w:cs="Segoe UI"/>
                <w:sz w:val="20"/>
                <w:szCs w:val="20"/>
              </w:rPr>
              <w:t xml:space="preserve">      - Offer workshop/training sessions to math faculty that show them how to add rubrics and outcomes to various </w:t>
            </w:r>
            <w:r w:rsidR="00E52169" w:rsidRPr="00D73E71">
              <w:rPr>
                <w:rFonts w:ascii="Segoe UI" w:hAnsi="Segoe UI" w:cs="Segoe UI"/>
                <w:sz w:val="20"/>
                <w:szCs w:val="20"/>
              </w:rPr>
              <w:t xml:space="preserve">Canvas </w:t>
            </w:r>
            <w:r w:rsidR="00D73E71" w:rsidRPr="00D73E71">
              <w:rPr>
                <w:rFonts w:ascii="Segoe UI" w:hAnsi="Segoe UI" w:cs="Segoe UI"/>
                <w:sz w:val="20"/>
                <w:szCs w:val="20"/>
              </w:rPr>
              <w:t>assignments</w:t>
            </w:r>
            <w:r w:rsidRPr="00D73E71">
              <w:rPr>
                <w:rFonts w:ascii="Segoe UI" w:hAnsi="Segoe UI" w:cs="Segoe UI"/>
                <w:sz w:val="20"/>
                <w:szCs w:val="20"/>
              </w:rPr>
              <w:t xml:space="preserve"> within their courses.</w:t>
            </w:r>
          </w:p>
          <w:p w14:paraId="792700A5" w14:textId="2972EA0F" w:rsidR="000D0041" w:rsidRPr="00D73E71" w:rsidRDefault="000D0041" w:rsidP="006B1C11">
            <w:pPr>
              <w:rPr>
                <w:rFonts w:ascii="Segoe UI" w:hAnsi="Segoe UI" w:cs="Segoe UI"/>
                <w:color w:val="000000" w:themeColor="text1"/>
                <w:sz w:val="20"/>
                <w:szCs w:val="20"/>
              </w:rPr>
            </w:pPr>
            <w:r w:rsidRPr="00D73E71">
              <w:rPr>
                <w:rFonts w:ascii="Segoe UI" w:hAnsi="Segoe UI" w:cs="Segoe UI"/>
                <w:color w:val="000000" w:themeColor="text1"/>
                <w:sz w:val="20"/>
                <w:szCs w:val="20"/>
              </w:rPr>
              <w:t xml:space="preserve"> </w:t>
            </w:r>
          </w:p>
          <w:p w14:paraId="6B54A1A0" w14:textId="397E44F0" w:rsidR="00266533" w:rsidRPr="00D73E71" w:rsidRDefault="00266533" w:rsidP="006B1C11">
            <w:pPr>
              <w:rPr>
                <w:rFonts w:ascii="Segoe UI" w:hAnsi="Segoe UI" w:cs="Segoe UI"/>
                <w:color w:val="000000" w:themeColor="text1"/>
                <w:sz w:val="20"/>
                <w:szCs w:val="20"/>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44DD73B2" w14:textId="69943142" w:rsidR="00266533" w:rsidRDefault="007075C7" w:rsidP="006B1C11">
            <w:pPr>
              <w:rPr>
                <w:rFonts w:ascii="Helvetica Neue" w:hAnsi="Helvetica Neue"/>
                <w:color w:val="000000" w:themeColor="text1"/>
                <w:sz w:val="22"/>
                <w:szCs w:val="22"/>
              </w:rPr>
            </w:pPr>
            <w:r>
              <w:rPr>
                <w:rFonts w:ascii="Helvetica Neue" w:hAnsi="Helvetica Neue"/>
                <w:color w:val="000000" w:themeColor="text1"/>
                <w:sz w:val="22"/>
                <w:szCs w:val="22"/>
              </w:rPr>
              <w:t>All faculty list student learning outcomes in their course syllabi. Many faculty emphasize student learning outcomes when presenting various topics within their courses.</w:t>
            </w:r>
            <w:r w:rsidR="00642097">
              <w:rPr>
                <w:rFonts w:ascii="Helvetica Neue" w:hAnsi="Helvetica Neue"/>
                <w:color w:val="000000" w:themeColor="text1"/>
                <w:sz w:val="22"/>
                <w:szCs w:val="22"/>
              </w:rPr>
              <w:t xml:space="preserve"> They explain the importance of calculation, representation, analysis, and communication throughout their courses.</w:t>
            </w:r>
            <w:r>
              <w:rPr>
                <w:rFonts w:ascii="Helvetica Neue" w:hAnsi="Helvetica Neue"/>
                <w:color w:val="000000" w:themeColor="text1"/>
                <w:sz w:val="22"/>
                <w:szCs w:val="22"/>
              </w:rPr>
              <w:t xml:space="preserve"> </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07033C6F" w:rsidR="00266533" w:rsidRPr="00234766" w:rsidRDefault="00234766" w:rsidP="006B1C11">
            <w:pPr>
              <w:rPr>
                <w:rFonts w:ascii="Helvetica Neue" w:hAnsi="Helvetica Neue" w:cs="Segoe UI"/>
                <w:color w:val="000000" w:themeColor="text1"/>
                <w:sz w:val="22"/>
                <w:szCs w:val="22"/>
              </w:rPr>
            </w:pPr>
            <w:r w:rsidRPr="00234766">
              <w:rPr>
                <w:rFonts w:ascii="Helvetica Neue" w:hAnsi="Helvetica Neue" w:cs="Segoe UI"/>
                <w:color w:val="000000" w:themeColor="text1"/>
                <w:sz w:val="22"/>
                <w:szCs w:val="22"/>
              </w:rPr>
              <w:t>The math department uses the same student learning outcomes for each course offered at the college because we strive to develop the skills of a quality mathematician at each level of study. In addition to course syllabi, the student learning outcomes are listed on the math department's website at</w:t>
            </w:r>
            <w:r w:rsidRPr="00234766">
              <w:rPr>
                <w:rFonts w:ascii="Helvetica Neue" w:hAnsi="Helvetica Neue" w:cs="Segoe UI"/>
                <w:color w:val="000000" w:themeColor="text1"/>
                <w:sz w:val="22"/>
                <w:szCs w:val="22"/>
              </w:rPr>
              <w:br/>
            </w:r>
            <w:r w:rsidRPr="00234766">
              <w:rPr>
                <w:rFonts w:ascii="Helvetica Neue" w:hAnsi="Helvetica Neue" w:cs="Segoe UI"/>
                <w:color w:val="000000" w:themeColor="text1"/>
                <w:sz w:val="22"/>
                <w:szCs w:val="22"/>
              </w:rPr>
              <w:br/>
              <w:t>https://www.berkeleycitycollege.edu/math/student-learning-outcomes/</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0930DE">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0930DE">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01C84DB2" w:rsidR="00E902F3" w:rsidRPr="00073426" w:rsidRDefault="00DC68F4" w:rsidP="00E902F3">
            <w:pPr>
              <w:rPr>
                <w:rFonts w:ascii="Helvetica Neue" w:hAnsi="Helvetica Neue"/>
              </w:rPr>
            </w:pPr>
            <w:r w:rsidRPr="00073426">
              <w:rPr>
                <w:rFonts w:ascii="Helvetica Neue" w:hAnsi="Helvetica Neue"/>
              </w:rPr>
              <w:t>Mathematics</w:t>
            </w: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61F35913" w:rsidR="00E902F3" w:rsidRPr="00073426" w:rsidRDefault="00DC68F4" w:rsidP="00E902F3">
            <w:pPr>
              <w:rPr>
                <w:rFonts w:ascii="Helvetica Neue" w:hAnsi="Helvetica Neue"/>
              </w:rPr>
            </w:pPr>
            <w:r w:rsidRPr="00073426">
              <w:rPr>
                <w:rFonts w:ascii="Helvetica Neue" w:hAnsi="Helvetica Neue"/>
              </w:rPr>
              <w:t>Canvas SLO Assessment Integration</w:t>
            </w: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3B03F479" w:rsidR="00E902F3" w:rsidRPr="00073426" w:rsidRDefault="00DC68F4" w:rsidP="00E902F3">
            <w:pPr>
              <w:rPr>
                <w:rFonts w:ascii="Helvetica Neue" w:hAnsi="Helvetica Neue"/>
              </w:rPr>
            </w:pPr>
            <w:r w:rsidRPr="00073426">
              <w:rPr>
                <w:rFonts w:ascii="Helvetica Neue" w:hAnsi="Helvetica Neue"/>
              </w:rPr>
              <w:t>Assess SLOs via Canvas for all math courses.</w:t>
            </w: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5105DA62" w:rsidR="00E902F3" w:rsidRPr="00073426" w:rsidRDefault="00DC68F4" w:rsidP="00E902F3">
            <w:pPr>
              <w:rPr>
                <w:rFonts w:ascii="Helvetica Neue" w:hAnsi="Helvetica Neue"/>
              </w:rPr>
            </w:pPr>
            <w:r w:rsidRPr="00073426">
              <w:rPr>
                <w:rFonts w:ascii="Helvetica Neue" w:hAnsi="Helvetica Neue"/>
              </w:rPr>
              <w:t>Spring 2021</w:t>
            </w: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0E61D66F" w:rsidR="00E902F3" w:rsidRPr="00EC7286" w:rsidRDefault="00DC68F4" w:rsidP="00E902F3">
            <w:pPr>
              <w:rPr>
                <w:rFonts w:ascii="Helvetica Neue" w:hAnsi="Helvetica Neue"/>
                <w:highlight w:val="yellow"/>
              </w:rPr>
            </w:pPr>
            <w:r w:rsidRPr="00073426">
              <w:rPr>
                <w:rFonts w:ascii="Helvetica Neue" w:hAnsi="Helvetica Neue"/>
              </w:rPr>
              <w:t>Kelly Pernell as SLO Liaison; all math faculty as participants</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57D17AFF" w14:textId="096CBB06" w:rsidR="00AD6A4E" w:rsidRPr="00AD6A4E" w:rsidRDefault="000930DE" w:rsidP="00AD6A4E">
            <w:pPr>
              <w:spacing w:after="160" w:line="259" w:lineRule="auto"/>
              <w:rPr>
                <w:rFonts w:ascii="Segoe UI" w:eastAsiaTheme="minorHAnsi" w:hAnsi="Segoe UI" w:cs="Segoe UI"/>
                <w:sz w:val="20"/>
                <w:szCs w:val="20"/>
              </w:rPr>
            </w:pPr>
            <w:r>
              <w:rPr>
                <w:rFonts w:ascii="Segoe UI" w:eastAsiaTheme="minorHAnsi" w:hAnsi="Segoe UI" w:cs="Segoe UI"/>
                <w:sz w:val="20"/>
                <w:szCs w:val="20"/>
              </w:rPr>
              <w:t>Kelly Pernell-</w:t>
            </w:r>
            <w:r w:rsidR="00AD6A4E" w:rsidRPr="00AD6A4E">
              <w:rPr>
                <w:rFonts w:ascii="Segoe UI" w:eastAsiaTheme="minorHAnsi" w:hAnsi="Segoe UI" w:cs="Segoe UI"/>
                <w:sz w:val="20"/>
                <w:szCs w:val="20"/>
              </w:rPr>
              <w:t>Academic Senate</w:t>
            </w:r>
            <w:r w:rsidR="008A038A">
              <w:rPr>
                <w:rFonts w:ascii="Segoe UI" w:eastAsiaTheme="minorHAnsi" w:hAnsi="Segoe UI" w:cs="Segoe UI"/>
                <w:sz w:val="20"/>
                <w:szCs w:val="20"/>
              </w:rPr>
              <w:t xml:space="preserve"> Secretary, Assessment Committee Member, Department's SLO Liaison, </w:t>
            </w:r>
            <w:r w:rsidR="00AD6A4E" w:rsidRPr="00AD6A4E">
              <w:rPr>
                <w:rFonts w:ascii="Segoe UI" w:eastAsiaTheme="minorHAnsi" w:hAnsi="Segoe UI" w:cs="Segoe UI"/>
                <w:sz w:val="20"/>
                <w:szCs w:val="20"/>
              </w:rPr>
              <w:t>TRC Member</w:t>
            </w:r>
            <w:r w:rsidR="008A038A">
              <w:rPr>
                <w:rFonts w:ascii="Segoe UI" w:eastAsiaTheme="minorHAnsi" w:hAnsi="Segoe UI" w:cs="Segoe UI"/>
                <w:sz w:val="20"/>
                <w:szCs w:val="20"/>
              </w:rPr>
              <w:t xml:space="preserve"> for a math department faculty member and the DSPS Coordinator</w:t>
            </w:r>
          </w:p>
          <w:p w14:paraId="1A687BE1" w14:textId="131FC6A4" w:rsidR="00AD6A4E" w:rsidRPr="00AD6A4E" w:rsidRDefault="00AD6A4E" w:rsidP="00AD6A4E">
            <w:pPr>
              <w:spacing w:after="160" w:line="259" w:lineRule="auto"/>
              <w:rPr>
                <w:rFonts w:ascii="Segoe UI" w:eastAsiaTheme="minorHAnsi" w:hAnsi="Segoe UI" w:cs="Segoe UI"/>
                <w:sz w:val="20"/>
                <w:szCs w:val="20"/>
              </w:rPr>
            </w:pPr>
            <w:r>
              <w:rPr>
                <w:rFonts w:ascii="Segoe UI" w:eastAsiaTheme="minorHAnsi" w:hAnsi="Segoe UI" w:cs="Segoe UI"/>
                <w:sz w:val="20"/>
                <w:szCs w:val="20"/>
              </w:rPr>
              <w:t>Claudia Abadia-</w:t>
            </w:r>
            <w:r w:rsidRPr="00AD6A4E">
              <w:rPr>
                <w:rFonts w:ascii="Segoe UI" w:eastAsiaTheme="minorHAnsi" w:hAnsi="Segoe UI" w:cs="Segoe UI"/>
                <w:sz w:val="20"/>
                <w:szCs w:val="20"/>
              </w:rPr>
              <w:t>Department Chair Council, TRC Member</w:t>
            </w:r>
            <w:r w:rsidR="00D247D1">
              <w:rPr>
                <w:rFonts w:ascii="Segoe UI" w:eastAsiaTheme="minorHAnsi" w:hAnsi="Segoe UI" w:cs="Segoe UI"/>
                <w:sz w:val="20"/>
                <w:szCs w:val="20"/>
              </w:rPr>
              <w:t xml:space="preserve"> for Math department faculty members</w:t>
            </w:r>
          </w:p>
          <w:p w14:paraId="4FEBB3FA" w14:textId="54FF99FD" w:rsidR="000930DE" w:rsidRPr="00AD6A4E" w:rsidRDefault="00AD6A4E" w:rsidP="00AD6A4E">
            <w:pPr>
              <w:spacing w:after="160" w:line="259" w:lineRule="auto"/>
              <w:rPr>
                <w:rFonts w:ascii="Segoe UI" w:eastAsiaTheme="minorHAnsi" w:hAnsi="Segoe UI" w:cs="Segoe UI"/>
                <w:sz w:val="20"/>
                <w:szCs w:val="20"/>
              </w:rPr>
            </w:pPr>
            <w:r w:rsidRPr="00AD6A4E">
              <w:rPr>
                <w:rFonts w:ascii="Segoe UI" w:eastAsiaTheme="minorHAnsi" w:hAnsi="Segoe UI" w:cs="Segoe UI"/>
                <w:sz w:val="20"/>
                <w:szCs w:val="20"/>
              </w:rPr>
              <w:t>Rick Wing-TRC Member</w:t>
            </w:r>
            <w:r w:rsidR="00D247D1">
              <w:rPr>
                <w:rFonts w:ascii="Segoe UI" w:eastAsiaTheme="minorHAnsi" w:hAnsi="Segoe UI" w:cs="Segoe UI"/>
                <w:sz w:val="20"/>
                <w:szCs w:val="20"/>
              </w:rPr>
              <w:t xml:space="preserve"> for  M</w:t>
            </w:r>
            <w:r w:rsidR="008A038A">
              <w:rPr>
                <w:rFonts w:ascii="Segoe UI" w:eastAsiaTheme="minorHAnsi" w:hAnsi="Segoe UI" w:cs="Segoe UI"/>
                <w:sz w:val="20"/>
                <w:szCs w:val="20"/>
              </w:rPr>
              <w:t>ath department faculty member</w:t>
            </w:r>
            <w:r w:rsidR="00D247D1">
              <w:rPr>
                <w:rFonts w:ascii="Segoe UI" w:eastAsiaTheme="minorHAnsi" w:hAnsi="Segoe UI" w:cs="Segoe UI"/>
                <w:sz w:val="20"/>
                <w:szCs w:val="20"/>
              </w:rPr>
              <w:t>s</w:t>
            </w:r>
          </w:p>
          <w:p w14:paraId="0BAEF67F" w14:textId="77777777" w:rsidR="006F23C4" w:rsidRDefault="00AD6A4E">
            <w:pPr>
              <w:spacing w:after="160" w:line="259" w:lineRule="auto"/>
              <w:rPr>
                <w:rFonts w:ascii="Segoe UI" w:eastAsiaTheme="minorHAnsi" w:hAnsi="Segoe UI" w:cs="Segoe UI"/>
                <w:sz w:val="20"/>
                <w:szCs w:val="20"/>
              </w:rPr>
            </w:pPr>
            <w:r w:rsidRPr="00AD6A4E">
              <w:rPr>
                <w:rFonts w:ascii="Segoe UI" w:eastAsiaTheme="minorHAnsi" w:hAnsi="Segoe UI" w:cs="Segoe UI"/>
                <w:sz w:val="20"/>
                <w:szCs w:val="20"/>
              </w:rPr>
              <w:t>Mark Rinker</w:t>
            </w:r>
            <w:r>
              <w:rPr>
                <w:rFonts w:ascii="Segoe UI" w:eastAsiaTheme="minorHAnsi" w:hAnsi="Segoe UI" w:cs="Segoe UI"/>
                <w:sz w:val="20"/>
                <w:szCs w:val="20"/>
              </w:rPr>
              <w:t>- Academic Senate</w:t>
            </w:r>
            <w:r w:rsidR="00D247D1">
              <w:rPr>
                <w:rFonts w:ascii="Segoe UI" w:eastAsiaTheme="minorHAnsi" w:hAnsi="Segoe UI" w:cs="Segoe UI"/>
                <w:sz w:val="20"/>
                <w:szCs w:val="20"/>
              </w:rPr>
              <w:t xml:space="preserve"> representative for the M</w:t>
            </w:r>
            <w:r w:rsidR="008A038A">
              <w:rPr>
                <w:rFonts w:ascii="Segoe UI" w:eastAsiaTheme="minorHAnsi" w:hAnsi="Segoe UI" w:cs="Segoe UI"/>
                <w:sz w:val="20"/>
                <w:szCs w:val="20"/>
              </w:rPr>
              <w:t>ath department</w:t>
            </w:r>
          </w:p>
          <w:p w14:paraId="71CCF588" w14:textId="5E84BA49" w:rsidR="00D247D1" w:rsidRPr="008A038A" w:rsidRDefault="00D247D1">
            <w:pPr>
              <w:spacing w:after="160" w:line="259" w:lineRule="auto"/>
              <w:rPr>
                <w:rFonts w:ascii="Segoe UI" w:eastAsiaTheme="minorHAnsi" w:hAnsi="Segoe UI" w:cs="Segoe UI"/>
                <w:sz w:val="20"/>
                <w:szCs w:val="20"/>
              </w:rPr>
            </w:pPr>
            <w:r>
              <w:rPr>
                <w:rFonts w:ascii="Segoe UI" w:eastAsiaTheme="minorHAnsi" w:hAnsi="Segoe UI" w:cs="Segoe UI"/>
                <w:sz w:val="20"/>
                <w:szCs w:val="20"/>
              </w:rPr>
              <w:t>Dmitriy Zhiv- Curriculum Committee</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25E77342" w14:textId="54347032" w:rsidR="00C645CB" w:rsidRPr="00C645CB" w:rsidRDefault="00C645CB" w:rsidP="00C645CB">
            <w:pPr>
              <w:spacing w:after="160" w:line="259" w:lineRule="auto"/>
              <w:rPr>
                <w:rFonts w:ascii="Segoe UI" w:eastAsiaTheme="minorHAnsi" w:hAnsi="Segoe UI" w:cs="Segoe UI"/>
                <w:sz w:val="20"/>
                <w:szCs w:val="20"/>
              </w:rPr>
            </w:pPr>
            <w:r w:rsidRPr="00C645CB">
              <w:rPr>
                <w:rFonts w:ascii="Segoe UI" w:eastAsiaTheme="minorHAnsi" w:hAnsi="Segoe UI" w:cs="Segoe UI"/>
                <w:sz w:val="20"/>
                <w:szCs w:val="20"/>
              </w:rPr>
              <w:t>Michael Orkin is on Board of Trustees of Lincoln University.  He routinely appears on radio and TV to discuss statistics relative to lottery odds.</w:t>
            </w:r>
            <w:r w:rsidR="000930DE">
              <w:rPr>
                <w:rFonts w:ascii="Segoe UI" w:eastAsiaTheme="minorHAnsi" w:hAnsi="Segoe UI" w:cs="Segoe UI"/>
                <w:sz w:val="20"/>
                <w:szCs w:val="20"/>
              </w:rPr>
              <w:t xml:space="preserve"> He also publishes various articles on statistics, with one example being “Chance” magazine. </w:t>
            </w:r>
          </w:p>
          <w:p w14:paraId="736A9FE1" w14:textId="2B1150B4" w:rsidR="006F23C4" w:rsidRPr="006F23C4" w:rsidRDefault="00C645CB" w:rsidP="00C645CB">
            <w:pPr>
              <w:spacing w:after="160" w:line="259" w:lineRule="auto"/>
              <w:rPr>
                <w:rFonts w:ascii="Helvetica Neue" w:hAnsi="Helvetica Neue"/>
                <w:color w:val="FF0000"/>
                <w:sz w:val="22"/>
                <w:szCs w:val="22"/>
              </w:rPr>
            </w:pPr>
            <w:r w:rsidRPr="00C645CB">
              <w:rPr>
                <w:rFonts w:ascii="Segoe UI" w:eastAsiaTheme="minorHAnsi" w:hAnsi="Segoe UI" w:cs="Segoe UI"/>
                <w:sz w:val="20"/>
                <w:szCs w:val="20"/>
              </w:rPr>
              <w:t>In the future</w:t>
            </w:r>
            <w:r w:rsidR="00D77CC1">
              <w:rPr>
                <w:rFonts w:ascii="Segoe UI" w:eastAsiaTheme="minorHAnsi" w:hAnsi="Segoe UI" w:cs="Segoe UI"/>
                <w:sz w:val="20"/>
                <w:szCs w:val="20"/>
              </w:rPr>
              <w:t>,</w:t>
            </w:r>
            <w:r w:rsidR="00E96447">
              <w:rPr>
                <w:rFonts w:ascii="Segoe UI" w:eastAsiaTheme="minorHAnsi" w:hAnsi="Segoe UI" w:cs="Segoe UI"/>
                <w:sz w:val="20"/>
                <w:szCs w:val="20"/>
              </w:rPr>
              <w:t xml:space="preserve">  </w:t>
            </w:r>
            <w:r w:rsidRPr="00C645CB">
              <w:rPr>
                <w:rFonts w:ascii="Segoe UI" w:eastAsiaTheme="minorHAnsi" w:hAnsi="Segoe UI" w:cs="Segoe UI"/>
                <w:sz w:val="20"/>
                <w:szCs w:val="20"/>
              </w:rPr>
              <w:t xml:space="preserve"> elementary or basic skill Math classes may be offered at the Adult School as part of concurrent enrollment and as a solution to help students who are not at the level of the support courses (Pre-Calculus, Statistics or Trigonometry)..</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59DD036E" w14:textId="5217436E" w:rsidR="006F23C4" w:rsidRPr="006F23C4" w:rsidRDefault="00C645CB" w:rsidP="006F23C4">
            <w:pPr>
              <w:spacing w:after="160" w:line="259" w:lineRule="auto"/>
              <w:rPr>
                <w:rFonts w:ascii="Helvetica Neue" w:hAnsi="Helvetica Neue"/>
                <w:color w:val="FF0000"/>
                <w:sz w:val="22"/>
                <w:szCs w:val="22"/>
              </w:rPr>
            </w:pPr>
            <w:r>
              <w:rPr>
                <w:rFonts w:ascii="Segoe UI" w:hAnsi="Segoe UI" w:cs="Segoe UI"/>
                <w:sz w:val="20"/>
                <w:szCs w:val="20"/>
              </w:rPr>
              <w:t xml:space="preserve">Adjunct faculty members are encouraged to participate in departmental activities and training.  They are encouraged to take on leadership roles in the department.  </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14D43FDD" w:rsidR="006F23C4" w:rsidRPr="006F23C4" w:rsidRDefault="00F35125">
            <w:pPr>
              <w:spacing w:after="160" w:line="259" w:lineRule="auto"/>
              <w:rPr>
                <w:rFonts w:ascii="Helvetica Neue" w:hAnsi="Helvetica Neue"/>
                <w:color w:val="FF0000"/>
                <w:sz w:val="22"/>
                <w:szCs w:val="22"/>
              </w:rPr>
            </w:pPr>
            <w:r>
              <w:rPr>
                <w:rFonts w:ascii="Helvetica Neue" w:hAnsi="Helvetica Neue"/>
                <w:sz w:val="22"/>
                <w:szCs w:val="22"/>
              </w:rPr>
              <w:lastRenderedPageBreak/>
              <w:t>The Math department work</w:t>
            </w:r>
            <w:r w:rsidR="000930DE" w:rsidRPr="00F35125">
              <w:rPr>
                <w:rFonts w:ascii="Helvetica Neue" w:hAnsi="Helvetica Neue"/>
                <w:sz w:val="22"/>
                <w:szCs w:val="22"/>
              </w:rPr>
              <w:t xml:space="preserve"> in conjunction with the Disabled Student Office, the Veterans Office, and </w:t>
            </w:r>
            <w:r>
              <w:rPr>
                <w:rFonts w:ascii="Helvetica Neue" w:hAnsi="Helvetica Neue"/>
                <w:sz w:val="22"/>
                <w:szCs w:val="22"/>
              </w:rPr>
              <w:t xml:space="preserve">Counseling to meet the students’ needs. </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0930DE">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0930DE">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0930DE">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0930DE">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0930DE">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0930DE">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0930DE">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0930DE">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0930DE">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0930DE">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0930DE">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0930DE">
            <w:pPr>
              <w:rPr>
                <w:rFonts w:ascii="Helvetica Neue" w:hAnsi="Helvetica Neue"/>
                <w:highlight w:val="yellow"/>
              </w:rPr>
            </w:pPr>
          </w:p>
        </w:tc>
      </w:tr>
    </w:tbl>
    <w:p w14:paraId="6246F82D" w14:textId="14B40FA5" w:rsidR="00FA4B17" w:rsidRDefault="00FA4B17">
      <w:pPr>
        <w:spacing w:after="160" w:line="259" w:lineRule="auto"/>
        <w:rPr>
          <w:rFonts w:ascii="Helvetica Neue" w:eastAsia="Century Gothic" w:hAnsi="Helvetica Neue" w:cs="Century Gothic"/>
          <w:sz w:val="19"/>
          <w:szCs w:val="19"/>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073426" w:rsidP="009662AA">
            <w:pPr>
              <w:rPr>
                <w:rFonts w:ascii="Helvetica Neue" w:hAnsi="Helvetica Neue" w:cs="Segoe UI"/>
              </w:rPr>
            </w:pPr>
            <w:hyperlink r:id="rId28"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011FFF" w:rsidRPr="00EC7286" w14:paraId="3983DA69" w14:textId="72FE02B8" w:rsidTr="00821912">
        <w:trPr>
          <w:trHeight w:val="291"/>
          <w:jc w:val="center"/>
        </w:trPr>
        <w:tc>
          <w:tcPr>
            <w:tcW w:w="1972" w:type="dxa"/>
            <w:shd w:val="clear" w:color="auto" w:fill="auto"/>
          </w:tcPr>
          <w:p w14:paraId="598DC74B"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7F426E37" w14:textId="77777777" w:rsidR="00011FFF" w:rsidRDefault="00011FFF" w:rsidP="00011FFF">
            <w:pPr>
              <w:rPr>
                <w:rFonts w:ascii="Segoe UI" w:hAnsi="Segoe UI" w:cs="Segoe UI"/>
                <w:sz w:val="20"/>
                <w:szCs w:val="20"/>
              </w:rPr>
            </w:pPr>
            <w:r>
              <w:rPr>
                <w:rFonts w:ascii="Segoe UI" w:hAnsi="Segoe UI" w:cs="Segoe UI"/>
                <w:sz w:val="20"/>
                <w:szCs w:val="20"/>
              </w:rPr>
              <w:t>Help with Math department projects, LRC coordination, Math web site maintenance and student OER resources</w:t>
            </w:r>
          </w:p>
          <w:p w14:paraId="2F238082" w14:textId="203D58EF" w:rsidR="00011FFF" w:rsidRPr="00EC7286" w:rsidRDefault="00011FFF" w:rsidP="00011FFF">
            <w:pPr>
              <w:rPr>
                <w:rFonts w:ascii="Helvetica Neue" w:hAnsi="Helvetica Neue" w:cs="Segoe UI"/>
              </w:rPr>
            </w:pPr>
          </w:p>
        </w:tc>
        <w:tc>
          <w:tcPr>
            <w:tcW w:w="1170" w:type="dxa"/>
            <w:shd w:val="clear" w:color="auto" w:fill="FFF2CC" w:themeFill="accent4" w:themeFillTint="33"/>
          </w:tcPr>
          <w:p w14:paraId="1B5B9E9D" w14:textId="77777777" w:rsidR="00011FFF" w:rsidRDefault="00011FFF" w:rsidP="00011FFF">
            <w:pPr>
              <w:rPr>
                <w:rFonts w:ascii="Segoe UI" w:hAnsi="Segoe UI" w:cs="Segoe UI"/>
                <w:sz w:val="20"/>
                <w:szCs w:val="20"/>
              </w:rPr>
            </w:pPr>
            <w:r>
              <w:rPr>
                <w:rFonts w:ascii="Segoe UI" w:hAnsi="Segoe UI" w:cs="Segoe UI"/>
                <w:sz w:val="20"/>
                <w:szCs w:val="20"/>
              </w:rPr>
              <w:t>Need assistance from Dean or VPI</w:t>
            </w:r>
          </w:p>
          <w:p w14:paraId="0005C329" w14:textId="148920A3" w:rsidR="00011FFF" w:rsidRPr="00EC7286" w:rsidRDefault="00011FFF" w:rsidP="00011FFF">
            <w:pPr>
              <w:rPr>
                <w:rFonts w:ascii="Helvetica Neue" w:hAnsi="Helvetica Neue" w:cs="Segoe UI"/>
              </w:rPr>
            </w:pPr>
          </w:p>
        </w:tc>
        <w:tc>
          <w:tcPr>
            <w:tcW w:w="1430" w:type="dxa"/>
            <w:shd w:val="clear" w:color="auto" w:fill="FFF2CC" w:themeFill="accent4" w:themeFillTint="33"/>
          </w:tcPr>
          <w:p w14:paraId="781CBDC1" w14:textId="6BB5CF4D"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01A8885C" w14:textId="20A09BD4" w:rsidR="00011FFF" w:rsidRPr="00EC7286" w:rsidRDefault="00011FFF" w:rsidP="00011FFF">
            <w:pPr>
              <w:rPr>
                <w:rFonts w:ascii="Helvetica Neue" w:hAnsi="Helvetica Neue" w:cs="Segoe UI"/>
              </w:rPr>
            </w:pPr>
          </w:p>
        </w:tc>
        <w:tc>
          <w:tcPr>
            <w:tcW w:w="1687" w:type="dxa"/>
            <w:shd w:val="clear" w:color="auto" w:fill="FFF2CC" w:themeFill="accent4" w:themeFillTint="33"/>
          </w:tcPr>
          <w:p w14:paraId="15BB3CCA" w14:textId="7ABA0D4D" w:rsidR="00011FFF" w:rsidRPr="00EC7286" w:rsidRDefault="0025719E" w:rsidP="00011FFF">
            <w:pPr>
              <w:rPr>
                <w:rFonts w:ascii="Helvetica Neue" w:hAnsi="Helvetica Neue" w:cs="Segoe UI"/>
              </w:rPr>
            </w:pPr>
            <w:r>
              <w:rPr>
                <w:rFonts w:ascii="Helvetica Neue" w:hAnsi="Helvetica Neue" w:cs="Segoe UI"/>
              </w:rPr>
              <w:t>6</w:t>
            </w:r>
          </w:p>
        </w:tc>
      </w:tr>
      <w:tr w:rsidR="00011FFF" w:rsidRPr="00EC7286" w14:paraId="4DF4E48A" w14:textId="4B17D33F" w:rsidTr="00821912">
        <w:trPr>
          <w:trHeight w:val="291"/>
          <w:jc w:val="center"/>
        </w:trPr>
        <w:tc>
          <w:tcPr>
            <w:tcW w:w="1972" w:type="dxa"/>
            <w:shd w:val="clear" w:color="auto" w:fill="auto"/>
          </w:tcPr>
          <w:p w14:paraId="125EAF56"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3E75AF0" w:rsidR="00011FFF" w:rsidRPr="00CE67B9" w:rsidRDefault="00011FFF" w:rsidP="00011FFF">
            <w:pPr>
              <w:spacing w:after="160" w:line="259" w:lineRule="auto"/>
              <w:rPr>
                <w:rFonts w:ascii="Segoe UI" w:hAnsi="Segoe UI" w:cs="Segoe UI"/>
                <w:sz w:val="20"/>
                <w:szCs w:val="20"/>
              </w:rPr>
            </w:pPr>
            <w:r>
              <w:rPr>
                <w:rFonts w:ascii="Segoe UI" w:hAnsi="Segoe UI" w:cs="Segoe UI"/>
                <w:sz w:val="20"/>
                <w:szCs w:val="20"/>
              </w:rPr>
              <w:t>Embedded tutors for</w:t>
            </w:r>
            <w:r w:rsidRPr="00CE67B9">
              <w:rPr>
                <w:rFonts w:ascii="Segoe UI" w:hAnsi="Segoe UI" w:cs="Segoe UI"/>
                <w:sz w:val="20"/>
                <w:szCs w:val="20"/>
              </w:rPr>
              <w:t xml:space="preserve"> support courses and other courses</w:t>
            </w:r>
          </w:p>
        </w:tc>
        <w:tc>
          <w:tcPr>
            <w:tcW w:w="1170" w:type="dxa"/>
            <w:shd w:val="clear" w:color="auto" w:fill="FFF2CC" w:themeFill="accent4" w:themeFillTint="33"/>
          </w:tcPr>
          <w:p w14:paraId="6084FB98" w14:textId="77777777" w:rsidR="00011FFF" w:rsidRDefault="00011FFF" w:rsidP="00011FFF">
            <w:pPr>
              <w:rPr>
                <w:rFonts w:ascii="Segoe UI" w:hAnsi="Segoe UI" w:cs="Segoe UI"/>
                <w:sz w:val="20"/>
                <w:szCs w:val="20"/>
              </w:rPr>
            </w:pPr>
            <w:r>
              <w:rPr>
                <w:rFonts w:ascii="Segoe UI" w:hAnsi="Segoe UI" w:cs="Segoe UI"/>
                <w:sz w:val="20"/>
                <w:szCs w:val="20"/>
              </w:rPr>
              <w:t>Need assistance from Dean or VPI</w:t>
            </w:r>
          </w:p>
          <w:p w14:paraId="262253EC" w14:textId="58461B10" w:rsidR="00011FFF" w:rsidRPr="00EC7286" w:rsidRDefault="00011FFF" w:rsidP="00011FFF">
            <w:pPr>
              <w:rPr>
                <w:rFonts w:ascii="Helvetica Neue" w:hAnsi="Helvetica Neue" w:cs="Segoe UI"/>
              </w:rPr>
            </w:pPr>
          </w:p>
        </w:tc>
        <w:tc>
          <w:tcPr>
            <w:tcW w:w="1430" w:type="dxa"/>
            <w:shd w:val="clear" w:color="auto" w:fill="FFF2CC" w:themeFill="accent4" w:themeFillTint="33"/>
          </w:tcPr>
          <w:p w14:paraId="0DFA3A16" w14:textId="38DE9EC1"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53931E0E" w14:textId="31A84D0C" w:rsidR="00011FFF" w:rsidRPr="00EC7286" w:rsidRDefault="00011FFF" w:rsidP="00011FFF">
            <w:pPr>
              <w:rPr>
                <w:rFonts w:ascii="Helvetica Neue" w:hAnsi="Helvetica Neue" w:cs="Segoe UI"/>
              </w:rPr>
            </w:pPr>
          </w:p>
        </w:tc>
        <w:tc>
          <w:tcPr>
            <w:tcW w:w="1687" w:type="dxa"/>
            <w:shd w:val="clear" w:color="auto" w:fill="FFF2CC" w:themeFill="accent4" w:themeFillTint="33"/>
          </w:tcPr>
          <w:p w14:paraId="6C0FE4C3" w14:textId="4BA6D551" w:rsidR="00011FFF" w:rsidRPr="00EC7286" w:rsidRDefault="0025719E" w:rsidP="00011FFF">
            <w:pPr>
              <w:rPr>
                <w:rFonts w:ascii="Helvetica Neue" w:hAnsi="Helvetica Neue" w:cs="Segoe UI"/>
              </w:rPr>
            </w:pPr>
            <w:r>
              <w:rPr>
                <w:rFonts w:ascii="Helvetica Neue" w:hAnsi="Helvetica Neue" w:cs="Segoe UI"/>
              </w:rPr>
              <w:t>4</w:t>
            </w:r>
          </w:p>
        </w:tc>
      </w:tr>
      <w:tr w:rsidR="00011FFF" w:rsidRPr="00EC7286" w14:paraId="4DAE1F55" w14:textId="38C7F49E" w:rsidTr="00821912">
        <w:trPr>
          <w:trHeight w:val="291"/>
          <w:jc w:val="center"/>
        </w:trPr>
        <w:tc>
          <w:tcPr>
            <w:tcW w:w="1972" w:type="dxa"/>
            <w:shd w:val="clear" w:color="auto" w:fill="auto"/>
          </w:tcPr>
          <w:p w14:paraId="46F059B9"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4CF70716" w14:textId="3B5D1BE9" w:rsidR="00011FFF" w:rsidRDefault="00011FFF" w:rsidP="00011FFF">
            <w:pPr>
              <w:rPr>
                <w:rFonts w:ascii="Segoe UI" w:hAnsi="Segoe UI" w:cs="Segoe UI"/>
                <w:sz w:val="20"/>
                <w:szCs w:val="20"/>
              </w:rPr>
            </w:pPr>
            <w:r>
              <w:rPr>
                <w:rFonts w:ascii="Segoe UI" w:hAnsi="Segoe UI" w:cs="Segoe UI"/>
                <w:sz w:val="20"/>
                <w:szCs w:val="20"/>
              </w:rPr>
              <w:t xml:space="preserve">A dedicated counselor (5-10 hours a week) focused </w:t>
            </w:r>
            <w:r>
              <w:rPr>
                <w:rFonts w:ascii="Segoe UI" w:hAnsi="Segoe UI" w:cs="Segoe UI"/>
                <w:sz w:val="20"/>
                <w:szCs w:val="20"/>
              </w:rPr>
              <w:lastRenderedPageBreak/>
              <w:t>on hel</w:t>
            </w:r>
            <w:r w:rsidR="00563ACB">
              <w:rPr>
                <w:rFonts w:ascii="Segoe UI" w:hAnsi="Segoe UI" w:cs="Segoe UI"/>
                <w:sz w:val="20"/>
                <w:szCs w:val="20"/>
              </w:rPr>
              <w:t>p</w:t>
            </w:r>
            <w:r>
              <w:rPr>
                <w:rFonts w:ascii="Segoe UI" w:hAnsi="Segoe UI" w:cs="Segoe UI"/>
                <w:sz w:val="20"/>
                <w:szCs w:val="20"/>
              </w:rPr>
              <w:t xml:space="preserve">ing students in support classes that would result in more collaboration with student services for students required to take the support courses.  </w:t>
            </w:r>
          </w:p>
          <w:p w14:paraId="0DAEF503" w14:textId="393BBA1F" w:rsidR="00011FFF" w:rsidRPr="00EC7286" w:rsidRDefault="00011FFF" w:rsidP="00011FFF">
            <w:pPr>
              <w:rPr>
                <w:rFonts w:ascii="Helvetica Neue" w:hAnsi="Helvetica Neue" w:cs="Segoe UI"/>
              </w:rPr>
            </w:pPr>
          </w:p>
        </w:tc>
        <w:tc>
          <w:tcPr>
            <w:tcW w:w="1170" w:type="dxa"/>
            <w:shd w:val="clear" w:color="auto" w:fill="FFF2CC" w:themeFill="accent4" w:themeFillTint="33"/>
          </w:tcPr>
          <w:p w14:paraId="3A871FC2" w14:textId="77777777" w:rsidR="00011FFF" w:rsidRDefault="00011FFF" w:rsidP="00011FFF">
            <w:pPr>
              <w:rPr>
                <w:rFonts w:ascii="Segoe UI" w:hAnsi="Segoe UI" w:cs="Segoe UI"/>
                <w:sz w:val="20"/>
                <w:szCs w:val="20"/>
              </w:rPr>
            </w:pPr>
            <w:r>
              <w:rPr>
                <w:rFonts w:ascii="Segoe UI" w:hAnsi="Segoe UI" w:cs="Segoe UI"/>
                <w:sz w:val="20"/>
                <w:szCs w:val="20"/>
              </w:rPr>
              <w:lastRenderedPageBreak/>
              <w:t xml:space="preserve">Need assistance </w:t>
            </w:r>
            <w:r>
              <w:rPr>
                <w:rFonts w:ascii="Segoe UI" w:hAnsi="Segoe UI" w:cs="Segoe UI"/>
                <w:sz w:val="20"/>
                <w:szCs w:val="20"/>
              </w:rPr>
              <w:lastRenderedPageBreak/>
              <w:t>from Dean or VPI</w:t>
            </w:r>
          </w:p>
          <w:p w14:paraId="0BFA2FA9" w14:textId="43601659" w:rsidR="00011FFF" w:rsidRPr="00EC7286" w:rsidRDefault="00011FFF" w:rsidP="00011FFF">
            <w:pPr>
              <w:rPr>
                <w:rFonts w:ascii="Helvetica Neue" w:hAnsi="Helvetica Neue" w:cs="Segoe UI"/>
              </w:rPr>
            </w:pPr>
          </w:p>
        </w:tc>
        <w:tc>
          <w:tcPr>
            <w:tcW w:w="1430" w:type="dxa"/>
            <w:shd w:val="clear" w:color="auto" w:fill="FFF2CC" w:themeFill="accent4" w:themeFillTint="33"/>
          </w:tcPr>
          <w:p w14:paraId="18032962" w14:textId="4F7D2D9A"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4C5756EA" w14:textId="104B3E78" w:rsidR="00011FFF" w:rsidRPr="00EC7286" w:rsidRDefault="00011FFF" w:rsidP="00011FFF">
            <w:pPr>
              <w:rPr>
                <w:rFonts w:ascii="Helvetica Neue" w:hAnsi="Helvetica Neue" w:cs="Segoe UI"/>
              </w:rPr>
            </w:pPr>
          </w:p>
        </w:tc>
        <w:tc>
          <w:tcPr>
            <w:tcW w:w="1687" w:type="dxa"/>
            <w:shd w:val="clear" w:color="auto" w:fill="FFF2CC" w:themeFill="accent4" w:themeFillTint="33"/>
          </w:tcPr>
          <w:p w14:paraId="6A001AE7" w14:textId="06E9542F" w:rsidR="00011FFF" w:rsidRPr="00EC7286" w:rsidRDefault="0025719E" w:rsidP="00011FFF">
            <w:pPr>
              <w:rPr>
                <w:rFonts w:ascii="Helvetica Neue" w:hAnsi="Helvetica Neue" w:cs="Segoe UI"/>
              </w:rPr>
            </w:pPr>
            <w:r>
              <w:rPr>
                <w:rFonts w:ascii="Helvetica Neue" w:hAnsi="Helvetica Neue" w:cs="Segoe UI"/>
              </w:rPr>
              <w:t>5</w:t>
            </w:r>
          </w:p>
        </w:tc>
      </w:tr>
      <w:tr w:rsidR="00011FFF" w:rsidRPr="00EC7286" w14:paraId="2DBF7513" w14:textId="3A406F97" w:rsidTr="00BC7C2B">
        <w:trPr>
          <w:trHeight w:val="291"/>
          <w:jc w:val="center"/>
        </w:trPr>
        <w:tc>
          <w:tcPr>
            <w:tcW w:w="1972" w:type="dxa"/>
            <w:shd w:val="clear" w:color="auto" w:fill="93CBB7"/>
          </w:tcPr>
          <w:p w14:paraId="688DB4F8" w14:textId="77777777" w:rsidR="00011FFF" w:rsidRPr="00BC7C2B" w:rsidRDefault="00011FFF" w:rsidP="00011FF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011FFF" w:rsidRPr="00BC7C2B" w:rsidRDefault="00011FFF" w:rsidP="00011FFF">
            <w:pPr>
              <w:rPr>
                <w:rFonts w:ascii="Helvetica Neue" w:hAnsi="Helvetica Neue" w:cs="Segoe UI"/>
                <w:color w:val="000000" w:themeColor="text1"/>
                <w:sz w:val="16"/>
                <w:szCs w:val="16"/>
              </w:rPr>
            </w:pPr>
          </w:p>
        </w:tc>
      </w:tr>
      <w:tr w:rsidR="00011FFF" w:rsidRPr="00EC7286" w14:paraId="17D91A0E" w14:textId="58A5CEDF" w:rsidTr="00821912">
        <w:trPr>
          <w:trHeight w:val="291"/>
          <w:jc w:val="center"/>
        </w:trPr>
        <w:tc>
          <w:tcPr>
            <w:tcW w:w="1972" w:type="dxa"/>
            <w:shd w:val="clear" w:color="auto" w:fill="auto"/>
          </w:tcPr>
          <w:p w14:paraId="24FB322B"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43339739" w14:textId="77777777" w:rsidR="00011FFF" w:rsidRDefault="00011FFF" w:rsidP="00011FFF">
            <w:pPr>
              <w:rPr>
                <w:rFonts w:ascii="Segoe UI" w:hAnsi="Segoe UI" w:cs="Segoe UI"/>
                <w:sz w:val="20"/>
                <w:szCs w:val="20"/>
              </w:rPr>
            </w:pPr>
            <w:r>
              <w:rPr>
                <w:rFonts w:ascii="Segoe UI" w:hAnsi="Segoe UI" w:cs="Segoe UI"/>
                <w:sz w:val="20"/>
                <w:szCs w:val="20"/>
              </w:rPr>
              <w:t xml:space="preserve">Faculty Stipends for : </w:t>
            </w:r>
          </w:p>
          <w:p w14:paraId="2040409B" w14:textId="77777777" w:rsidR="00011FFF" w:rsidRDefault="00011FFF" w:rsidP="00011FFF">
            <w:pPr>
              <w:rPr>
                <w:rFonts w:ascii="Segoe UI" w:hAnsi="Segoe UI" w:cs="Segoe UI"/>
                <w:sz w:val="20"/>
                <w:szCs w:val="20"/>
              </w:rPr>
            </w:pPr>
            <w:r>
              <w:rPr>
                <w:rFonts w:ascii="Segoe UI" w:hAnsi="Segoe UI" w:cs="Segoe UI"/>
                <w:sz w:val="20"/>
                <w:szCs w:val="20"/>
              </w:rPr>
              <w:t>Guided Pathways</w:t>
            </w:r>
          </w:p>
          <w:p w14:paraId="6A3B7E8A" w14:textId="77777777" w:rsidR="00011FFF" w:rsidRDefault="00011FFF" w:rsidP="00011FFF">
            <w:pPr>
              <w:rPr>
                <w:rFonts w:ascii="Segoe UI" w:hAnsi="Segoe UI" w:cs="Segoe UI"/>
                <w:sz w:val="20"/>
                <w:szCs w:val="20"/>
              </w:rPr>
            </w:pPr>
            <w:r>
              <w:rPr>
                <w:rFonts w:ascii="Segoe UI" w:hAnsi="Segoe UI" w:cs="Segoe UI"/>
                <w:sz w:val="20"/>
                <w:szCs w:val="20"/>
              </w:rPr>
              <w:t>Developing non-credit courses to be offered at the Adult school.</w:t>
            </w:r>
          </w:p>
          <w:p w14:paraId="7104DB0B" w14:textId="77777777" w:rsidR="00011FFF" w:rsidRDefault="00011FFF" w:rsidP="00011FFF">
            <w:pPr>
              <w:rPr>
                <w:rFonts w:ascii="Segoe UI" w:hAnsi="Segoe UI" w:cs="Segoe UI"/>
                <w:sz w:val="20"/>
                <w:szCs w:val="20"/>
              </w:rPr>
            </w:pPr>
            <w:r>
              <w:rPr>
                <w:rFonts w:ascii="Segoe UI" w:hAnsi="Segoe UI" w:cs="Segoe UI"/>
                <w:sz w:val="20"/>
                <w:szCs w:val="20"/>
              </w:rPr>
              <w:t>Curricunet SLO submission training</w:t>
            </w:r>
          </w:p>
          <w:p w14:paraId="2D510AB0" w14:textId="77777777" w:rsidR="00011FFF" w:rsidRDefault="00011FFF" w:rsidP="00011FFF">
            <w:pPr>
              <w:rPr>
                <w:rFonts w:ascii="Segoe UI" w:hAnsi="Segoe UI" w:cs="Segoe UI"/>
                <w:sz w:val="20"/>
                <w:szCs w:val="20"/>
              </w:rPr>
            </w:pPr>
            <w:r>
              <w:rPr>
                <w:rFonts w:ascii="Segoe UI" w:hAnsi="Segoe UI" w:cs="Segoe UI"/>
                <w:sz w:val="20"/>
                <w:szCs w:val="20"/>
              </w:rPr>
              <w:t>Canvas Training on Rubrics and Outcomes alignment</w:t>
            </w:r>
          </w:p>
          <w:p w14:paraId="53C07469" w14:textId="798E4E06" w:rsidR="00563ACB" w:rsidRPr="00CE67B9" w:rsidRDefault="00563ACB" w:rsidP="00011FFF">
            <w:pPr>
              <w:rPr>
                <w:rFonts w:ascii="Segoe UI" w:hAnsi="Segoe UI" w:cs="Segoe UI"/>
                <w:sz w:val="20"/>
                <w:szCs w:val="20"/>
              </w:rPr>
            </w:pPr>
            <w:r>
              <w:rPr>
                <w:rFonts w:ascii="Segoe UI" w:hAnsi="Segoe UI" w:cs="Segoe UI"/>
                <w:sz w:val="20"/>
                <w:szCs w:val="20"/>
              </w:rPr>
              <w:t>CMC^3 Conference Fees</w:t>
            </w:r>
          </w:p>
        </w:tc>
        <w:tc>
          <w:tcPr>
            <w:tcW w:w="1180" w:type="dxa"/>
            <w:shd w:val="clear" w:color="auto" w:fill="FFF2CC" w:themeFill="accent4" w:themeFillTint="33"/>
          </w:tcPr>
          <w:p w14:paraId="193EC35A" w14:textId="419FBEC3" w:rsidR="00011FFF" w:rsidRPr="0025719E" w:rsidRDefault="00011FFF" w:rsidP="00011FFF">
            <w:pPr>
              <w:rPr>
                <w:rFonts w:ascii="Segoe UI" w:hAnsi="Segoe UI" w:cs="Segoe UI"/>
                <w:sz w:val="20"/>
                <w:szCs w:val="20"/>
              </w:rPr>
            </w:pPr>
            <w:r w:rsidRPr="0025719E">
              <w:rPr>
                <w:rFonts w:ascii="Segoe UI" w:hAnsi="Segoe UI" w:cs="Segoe UI"/>
                <w:sz w:val="20"/>
                <w:szCs w:val="20"/>
              </w:rPr>
              <w:t>$500 stipend per faculty member</w:t>
            </w:r>
          </w:p>
        </w:tc>
        <w:tc>
          <w:tcPr>
            <w:tcW w:w="1687" w:type="dxa"/>
            <w:shd w:val="clear" w:color="auto" w:fill="FFF2CC" w:themeFill="accent4" w:themeFillTint="33"/>
          </w:tcPr>
          <w:p w14:paraId="6BFE2F87" w14:textId="26FAE5B1" w:rsidR="00011FFF" w:rsidRPr="00EC7286" w:rsidRDefault="0025719E" w:rsidP="00011FFF">
            <w:pPr>
              <w:rPr>
                <w:rFonts w:ascii="Helvetica Neue" w:hAnsi="Helvetica Neue" w:cs="Segoe UI"/>
              </w:rPr>
            </w:pPr>
            <w:r>
              <w:rPr>
                <w:rFonts w:ascii="Helvetica Neue" w:hAnsi="Helvetica Neue" w:cs="Segoe UI"/>
              </w:rPr>
              <w:t>8</w:t>
            </w:r>
          </w:p>
        </w:tc>
      </w:tr>
      <w:tr w:rsidR="00011FFF" w:rsidRPr="00EC7286" w14:paraId="11642F0E" w14:textId="11724B2D" w:rsidTr="00821912">
        <w:trPr>
          <w:trHeight w:val="291"/>
          <w:jc w:val="center"/>
        </w:trPr>
        <w:tc>
          <w:tcPr>
            <w:tcW w:w="1972" w:type="dxa"/>
            <w:shd w:val="clear" w:color="auto" w:fill="auto"/>
          </w:tcPr>
          <w:p w14:paraId="7EC95410"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6DC69E18" w:rsidR="00011FFF" w:rsidRPr="00CE67B9" w:rsidRDefault="00011FFF" w:rsidP="00011FFF">
            <w:pPr>
              <w:rPr>
                <w:rFonts w:ascii="Segoe UI" w:hAnsi="Segoe UI" w:cs="Segoe UI"/>
                <w:sz w:val="20"/>
                <w:szCs w:val="20"/>
              </w:rPr>
            </w:pPr>
            <w:r w:rsidRPr="00CE67B9">
              <w:rPr>
                <w:rFonts w:ascii="Segoe UI" w:hAnsi="Segoe UI" w:cs="Segoe UI"/>
                <w:sz w:val="20"/>
                <w:szCs w:val="20"/>
              </w:rPr>
              <w:t>Equity Grading</w:t>
            </w:r>
          </w:p>
          <w:p w14:paraId="1367B2A2" w14:textId="419464C3"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0C3CBE7B" w14:textId="73B90CE3" w:rsidR="00011FFF" w:rsidRPr="00011FFF" w:rsidRDefault="00011FFF" w:rsidP="00011FFF">
            <w:pPr>
              <w:rPr>
                <w:rFonts w:ascii="Segoe UI" w:hAnsi="Segoe UI" w:cs="Segoe UI"/>
                <w:sz w:val="20"/>
                <w:szCs w:val="20"/>
              </w:rPr>
            </w:pPr>
            <w:r w:rsidRPr="00011FFF">
              <w:rPr>
                <w:rFonts w:ascii="Segoe UI" w:hAnsi="Segoe UI" w:cs="Segoe UI"/>
                <w:sz w:val="20"/>
                <w:szCs w:val="20"/>
              </w:rPr>
              <w:t>$2</w:t>
            </w:r>
            <w:r w:rsidRPr="00011FFF">
              <w:rPr>
                <w:rFonts w:ascii="Segoe UI" w:hAnsi="Segoe UI" w:cs="Segoe UI"/>
                <w:sz w:val="20"/>
                <w:szCs w:val="20"/>
              </w:rPr>
              <w:t>00 stipend per faculty member</w:t>
            </w:r>
          </w:p>
        </w:tc>
        <w:tc>
          <w:tcPr>
            <w:tcW w:w="1687" w:type="dxa"/>
            <w:shd w:val="clear" w:color="auto" w:fill="FFF2CC" w:themeFill="accent4" w:themeFillTint="33"/>
          </w:tcPr>
          <w:p w14:paraId="68BABE02" w14:textId="1741760A" w:rsidR="00011FFF" w:rsidRPr="00EC7286" w:rsidRDefault="0025719E" w:rsidP="00011FFF">
            <w:pPr>
              <w:rPr>
                <w:rFonts w:ascii="Helvetica Neue" w:hAnsi="Helvetica Neue" w:cs="Segoe UI"/>
              </w:rPr>
            </w:pPr>
            <w:r>
              <w:rPr>
                <w:rFonts w:ascii="Helvetica Neue" w:hAnsi="Helvetica Neue" w:cs="Segoe UI"/>
              </w:rPr>
              <w:t>9</w:t>
            </w:r>
          </w:p>
        </w:tc>
      </w:tr>
      <w:tr w:rsidR="00011FFF" w:rsidRPr="00EC7286" w14:paraId="72AEFD1E" w14:textId="5F184990" w:rsidTr="00BC7C2B">
        <w:trPr>
          <w:trHeight w:val="291"/>
          <w:jc w:val="center"/>
        </w:trPr>
        <w:tc>
          <w:tcPr>
            <w:tcW w:w="1972" w:type="dxa"/>
            <w:shd w:val="clear" w:color="auto" w:fill="93CBB7"/>
          </w:tcPr>
          <w:p w14:paraId="4B6DF2AB" w14:textId="77777777" w:rsidR="00011FFF" w:rsidRPr="00BC7C2B" w:rsidRDefault="00011FFF" w:rsidP="00011FF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011FFF" w:rsidRPr="00BC7C2B" w:rsidRDefault="00011FFF" w:rsidP="00011FFF">
            <w:pPr>
              <w:rPr>
                <w:rFonts w:ascii="Helvetica Neue" w:hAnsi="Helvetica Neue" w:cs="Segoe UI"/>
                <w:color w:val="000000" w:themeColor="text1"/>
                <w:sz w:val="16"/>
                <w:szCs w:val="16"/>
              </w:rPr>
            </w:pPr>
          </w:p>
        </w:tc>
      </w:tr>
      <w:tr w:rsidR="00011FFF" w:rsidRPr="00EC7286" w14:paraId="6B1B0764" w14:textId="2257AB69" w:rsidTr="00821912">
        <w:trPr>
          <w:trHeight w:val="291"/>
          <w:jc w:val="center"/>
        </w:trPr>
        <w:tc>
          <w:tcPr>
            <w:tcW w:w="1972" w:type="dxa"/>
            <w:shd w:val="clear" w:color="auto" w:fill="auto"/>
          </w:tcPr>
          <w:p w14:paraId="3E314A5B" w14:textId="3783E25F" w:rsidR="00011FFF" w:rsidRPr="007E01B2" w:rsidRDefault="00011FFF" w:rsidP="00011FFF">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 (for whom or role?)</w:t>
            </w:r>
          </w:p>
        </w:tc>
        <w:tc>
          <w:tcPr>
            <w:tcW w:w="5133" w:type="dxa"/>
            <w:gridSpan w:val="3"/>
            <w:shd w:val="clear" w:color="auto" w:fill="FFF2CC" w:themeFill="accent4" w:themeFillTint="33"/>
          </w:tcPr>
          <w:p w14:paraId="03FE529D" w14:textId="7E8E6D9C" w:rsidR="00011FFF" w:rsidRPr="00ED4468" w:rsidRDefault="00011FFF" w:rsidP="00011FFF">
            <w:pPr>
              <w:rPr>
                <w:rFonts w:ascii="Helvetica Neue" w:hAnsi="Helvetica Neue" w:cs="Segoe UI"/>
                <w:sz w:val="20"/>
                <w:szCs w:val="20"/>
              </w:rPr>
            </w:pPr>
            <w:r w:rsidRPr="00ED4468">
              <w:rPr>
                <w:rFonts w:ascii="Helvetica Neue" w:hAnsi="Helvetica Neue" w:cs="Segoe UI"/>
                <w:sz w:val="20"/>
                <w:szCs w:val="20"/>
              </w:rPr>
              <w:t>Notability for iPad users</w:t>
            </w:r>
          </w:p>
        </w:tc>
        <w:tc>
          <w:tcPr>
            <w:tcW w:w="1180" w:type="dxa"/>
            <w:shd w:val="clear" w:color="auto" w:fill="FFF2CC" w:themeFill="accent4" w:themeFillTint="33"/>
          </w:tcPr>
          <w:p w14:paraId="4EB4046F" w14:textId="153FB0BF" w:rsidR="00011FFF" w:rsidRPr="00011FFF" w:rsidRDefault="00011FFF" w:rsidP="00011FFF">
            <w:pPr>
              <w:rPr>
                <w:rFonts w:ascii="Segoe UI" w:hAnsi="Segoe UI" w:cs="Segoe UI"/>
                <w:sz w:val="20"/>
                <w:szCs w:val="20"/>
              </w:rPr>
            </w:pPr>
            <w:r w:rsidRPr="00011FFF">
              <w:rPr>
                <w:rFonts w:ascii="Segoe UI" w:hAnsi="Segoe UI" w:cs="Segoe UI"/>
                <w:sz w:val="20"/>
                <w:szCs w:val="20"/>
              </w:rPr>
              <w:t>$10 per iPad user</w:t>
            </w:r>
          </w:p>
        </w:tc>
        <w:tc>
          <w:tcPr>
            <w:tcW w:w="1687" w:type="dxa"/>
            <w:shd w:val="clear" w:color="auto" w:fill="FFF2CC" w:themeFill="accent4" w:themeFillTint="33"/>
          </w:tcPr>
          <w:p w14:paraId="1857A0E8" w14:textId="04771AE3" w:rsidR="00011FFF" w:rsidRPr="00EC7286" w:rsidRDefault="0025719E" w:rsidP="00011FFF">
            <w:pPr>
              <w:rPr>
                <w:rFonts w:ascii="Helvetica Neue" w:hAnsi="Helvetica Neue" w:cs="Segoe UI"/>
              </w:rPr>
            </w:pPr>
            <w:r>
              <w:rPr>
                <w:rFonts w:ascii="Helvetica Neue" w:hAnsi="Helvetica Neue" w:cs="Segoe UI"/>
              </w:rPr>
              <w:t>10</w:t>
            </w:r>
          </w:p>
        </w:tc>
      </w:tr>
      <w:tr w:rsidR="00011FFF" w:rsidRPr="00EC7286" w14:paraId="78F8135F" w14:textId="74C49BE0" w:rsidTr="00821912">
        <w:trPr>
          <w:trHeight w:val="291"/>
          <w:jc w:val="center"/>
        </w:trPr>
        <w:tc>
          <w:tcPr>
            <w:tcW w:w="1972" w:type="dxa"/>
            <w:shd w:val="clear" w:color="auto" w:fill="auto"/>
          </w:tcPr>
          <w:p w14:paraId="06F764D8"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32F86612"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625BDB47" w14:textId="1D488BD5" w:rsidR="00011FFF" w:rsidRPr="00EC7286" w:rsidRDefault="00011FFF" w:rsidP="00011FFF">
            <w:pPr>
              <w:rPr>
                <w:rFonts w:ascii="Helvetica Neue" w:hAnsi="Helvetica Neue" w:cs="Segoe UI"/>
              </w:rPr>
            </w:pPr>
          </w:p>
        </w:tc>
        <w:tc>
          <w:tcPr>
            <w:tcW w:w="1687" w:type="dxa"/>
            <w:shd w:val="clear" w:color="auto" w:fill="FFF2CC" w:themeFill="accent4" w:themeFillTint="33"/>
          </w:tcPr>
          <w:p w14:paraId="359CD809" w14:textId="755F9D53" w:rsidR="00011FFF" w:rsidRPr="00EC7286" w:rsidRDefault="00011FFF" w:rsidP="00011FFF">
            <w:pPr>
              <w:rPr>
                <w:rFonts w:ascii="Helvetica Neue" w:hAnsi="Helvetica Neue" w:cs="Segoe UI"/>
              </w:rPr>
            </w:pPr>
          </w:p>
        </w:tc>
      </w:tr>
      <w:tr w:rsidR="00011FFF" w:rsidRPr="00EC7286" w14:paraId="19B7842B" w14:textId="5D18AE41" w:rsidTr="00821912">
        <w:trPr>
          <w:trHeight w:val="291"/>
          <w:jc w:val="center"/>
        </w:trPr>
        <w:tc>
          <w:tcPr>
            <w:tcW w:w="1972" w:type="dxa"/>
            <w:shd w:val="clear" w:color="auto" w:fill="auto"/>
          </w:tcPr>
          <w:p w14:paraId="600C28E2"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1B3B7DDB" w:rsidR="00011FFF" w:rsidRPr="00CE67B9" w:rsidRDefault="00011FFF" w:rsidP="00011FFF">
            <w:pPr>
              <w:spacing w:after="160" w:line="259" w:lineRule="auto"/>
              <w:rPr>
                <w:rFonts w:ascii="Segoe UI" w:hAnsi="Segoe UI" w:cs="Segoe UI"/>
                <w:sz w:val="20"/>
                <w:szCs w:val="20"/>
              </w:rPr>
            </w:pPr>
            <w:r>
              <w:rPr>
                <w:rFonts w:ascii="Segoe UI" w:hAnsi="Segoe UI" w:cs="Segoe UI"/>
                <w:sz w:val="20"/>
                <w:szCs w:val="20"/>
              </w:rPr>
              <w:t xml:space="preserve">Two </w:t>
            </w:r>
            <w:r w:rsidRPr="00CE67B9">
              <w:rPr>
                <w:rFonts w:ascii="Segoe UI" w:hAnsi="Segoe UI" w:cs="Segoe UI"/>
                <w:sz w:val="20"/>
                <w:szCs w:val="20"/>
              </w:rPr>
              <w:t>Classroom set of TI84 Plus CE graphing calculators (30 calculators with charging station and cables)</w:t>
            </w:r>
          </w:p>
        </w:tc>
        <w:tc>
          <w:tcPr>
            <w:tcW w:w="1180" w:type="dxa"/>
            <w:shd w:val="clear" w:color="auto" w:fill="FFF2CC" w:themeFill="accent4" w:themeFillTint="33"/>
          </w:tcPr>
          <w:p w14:paraId="273E3D04" w14:textId="40A6A1AC" w:rsidR="00011FFF" w:rsidRPr="00CE67B9" w:rsidRDefault="00011FFF" w:rsidP="00011FFF">
            <w:pPr>
              <w:rPr>
                <w:rFonts w:ascii="Segoe UI" w:hAnsi="Segoe UI" w:cs="Segoe UI"/>
                <w:sz w:val="20"/>
                <w:szCs w:val="20"/>
              </w:rPr>
            </w:pPr>
            <w:r w:rsidRPr="00CE67B9">
              <w:rPr>
                <w:rFonts w:ascii="Segoe UI" w:hAnsi="Segoe UI" w:cs="Segoe UI"/>
                <w:sz w:val="20"/>
                <w:szCs w:val="20"/>
              </w:rPr>
              <w:t>$9000</w:t>
            </w:r>
          </w:p>
        </w:tc>
        <w:tc>
          <w:tcPr>
            <w:tcW w:w="1687" w:type="dxa"/>
            <w:shd w:val="clear" w:color="auto" w:fill="FFF2CC" w:themeFill="accent4" w:themeFillTint="33"/>
          </w:tcPr>
          <w:p w14:paraId="16E1DD6A" w14:textId="50FE7EEB" w:rsidR="00011FFF" w:rsidRPr="00EC7286" w:rsidRDefault="0025719E" w:rsidP="00011FFF">
            <w:pPr>
              <w:rPr>
                <w:rFonts w:ascii="Helvetica Neue" w:hAnsi="Helvetica Neue" w:cs="Segoe UI"/>
              </w:rPr>
            </w:pPr>
            <w:r>
              <w:rPr>
                <w:rFonts w:ascii="Helvetica Neue" w:hAnsi="Helvetica Neue" w:cs="Segoe UI"/>
              </w:rPr>
              <w:t>7</w:t>
            </w:r>
          </w:p>
        </w:tc>
      </w:tr>
      <w:tr w:rsidR="00011FFF" w:rsidRPr="00EC7286" w14:paraId="5FAE3043" w14:textId="71F7F143" w:rsidTr="00821912">
        <w:trPr>
          <w:trHeight w:val="291"/>
          <w:jc w:val="center"/>
        </w:trPr>
        <w:tc>
          <w:tcPr>
            <w:tcW w:w="1972" w:type="dxa"/>
            <w:shd w:val="clear" w:color="auto" w:fill="auto"/>
          </w:tcPr>
          <w:p w14:paraId="30562490"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6746C6B4" w:rsidR="00011FFF" w:rsidRPr="00CE67B9" w:rsidRDefault="00011FFF" w:rsidP="00011FFF">
            <w:pPr>
              <w:spacing w:after="160" w:line="259" w:lineRule="auto"/>
              <w:rPr>
                <w:rFonts w:ascii="Segoe UI" w:hAnsi="Segoe UI" w:cs="Segoe UI"/>
                <w:sz w:val="20"/>
                <w:szCs w:val="20"/>
              </w:rPr>
            </w:pPr>
            <w:r w:rsidRPr="00CE67B9">
              <w:rPr>
                <w:rFonts w:ascii="Segoe UI" w:hAnsi="Segoe UI" w:cs="Segoe UI"/>
                <w:sz w:val="20"/>
                <w:szCs w:val="20"/>
              </w:rPr>
              <w:t xml:space="preserve">Toner cartridges for printer used by Math faculty in a year.  </w:t>
            </w:r>
          </w:p>
        </w:tc>
        <w:tc>
          <w:tcPr>
            <w:tcW w:w="1180" w:type="dxa"/>
            <w:shd w:val="clear" w:color="auto" w:fill="FFF2CC" w:themeFill="accent4" w:themeFillTint="33"/>
          </w:tcPr>
          <w:p w14:paraId="78B1FFC5" w14:textId="3C2B73D8" w:rsidR="00011FFF" w:rsidRPr="00CE67B9" w:rsidRDefault="00011FFF" w:rsidP="00011FFF">
            <w:pPr>
              <w:rPr>
                <w:rFonts w:ascii="Segoe UI" w:hAnsi="Segoe UI" w:cs="Segoe UI"/>
                <w:sz w:val="20"/>
                <w:szCs w:val="20"/>
              </w:rPr>
            </w:pPr>
            <w:r w:rsidRPr="00CE67B9">
              <w:rPr>
                <w:rFonts w:ascii="Segoe UI" w:hAnsi="Segoe UI" w:cs="Segoe UI"/>
                <w:sz w:val="20"/>
                <w:szCs w:val="20"/>
              </w:rPr>
              <w:t>$700</w:t>
            </w:r>
          </w:p>
        </w:tc>
        <w:tc>
          <w:tcPr>
            <w:tcW w:w="1687" w:type="dxa"/>
            <w:shd w:val="clear" w:color="auto" w:fill="FFF2CC" w:themeFill="accent4" w:themeFillTint="33"/>
          </w:tcPr>
          <w:p w14:paraId="4FEF9BAA" w14:textId="4DCA47D0" w:rsidR="00011FFF" w:rsidRPr="00EC7286" w:rsidRDefault="0025719E" w:rsidP="00011FFF">
            <w:pPr>
              <w:rPr>
                <w:rFonts w:ascii="Helvetica Neue" w:hAnsi="Helvetica Neue" w:cs="Segoe UI"/>
              </w:rPr>
            </w:pPr>
            <w:r>
              <w:rPr>
                <w:rFonts w:ascii="Helvetica Neue" w:hAnsi="Helvetica Neue" w:cs="Segoe UI"/>
              </w:rPr>
              <w:t>14</w:t>
            </w:r>
          </w:p>
        </w:tc>
      </w:tr>
      <w:tr w:rsidR="00011FFF" w:rsidRPr="00EC7286" w14:paraId="63CF1106" w14:textId="11C2D840" w:rsidTr="00BC7C2B">
        <w:trPr>
          <w:trHeight w:val="291"/>
          <w:jc w:val="center"/>
        </w:trPr>
        <w:tc>
          <w:tcPr>
            <w:tcW w:w="1972" w:type="dxa"/>
            <w:shd w:val="clear" w:color="auto" w:fill="93CBB7"/>
            <w:vAlign w:val="bottom"/>
          </w:tcPr>
          <w:p w14:paraId="61015965" w14:textId="77777777" w:rsidR="00011FFF" w:rsidRPr="00BC7C2B" w:rsidRDefault="00011FFF" w:rsidP="00011FF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011FFF" w:rsidRPr="00BC7C2B" w:rsidRDefault="00011FFF" w:rsidP="00011FFF">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011FFF" w:rsidRPr="00100D61" w:rsidRDefault="00011FFF" w:rsidP="00011FFF">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9"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011FFF" w:rsidRPr="00BC7C2B" w:rsidRDefault="00011FFF" w:rsidP="00011FFF">
            <w:pPr>
              <w:rPr>
                <w:rFonts w:ascii="Helvetica Neue" w:hAnsi="Helvetica Neue" w:cs="Segoe UI"/>
                <w:color w:val="000000" w:themeColor="text1"/>
                <w:sz w:val="16"/>
                <w:szCs w:val="16"/>
              </w:rPr>
            </w:pPr>
          </w:p>
        </w:tc>
      </w:tr>
      <w:tr w:rsidR="00011FFF" w:rsidRPr="00EC7286" w14:paraId="4BEFE862" w14:textId="382C4327" w:rsidTr="00821912">
        <w:tblPrEx>
          <w:jc w:val="left"/>
        </w:tblPrEx>
        <w:trPr>
          <w:trHeight w:val="291"/>
        </w:trPr>
        <w:tc>
          <w:tcPr>
            <w:tcW w:w="1972" w:type="dxa"/>
          </w:tcPr>
          <w:p w14:paraId="19CCFA35" w14:textId="4E1983E9"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6350F06B" w:rsidR="00011FFF" w:rsidRPr="00EC7286" w:rsidRDefault="00011FFF" w:rsidP="00011FFF">
            <w:pPr>
              <w:rPr>
                <w:rFonts w:ascii="Helvetica Neue" w:hAnsi="Helvetica Neue"/>
              </w:rPr>
            </w:pPr>
          </w:p>
        </w:tc>
        <w:tc>
          <w:tcPr>
            <w:tcW w:w="1180" w:type="dxa"/>
            <w:shd w:val="clear" w:color="auto" w:fill="FFF2CC" w:themeFill="accent4" w:themeFillTint="33"/>
          </w:tcPr>
          <w:p w14:paraId="22DB238F" w14:textId="4D993259" w:rsidR="00011FFF" w:rsidRPr="00EC7286" w:rsidRDefault="00011FFF" w:rsidP="00011FFF">
            <w:pPr>
              <w:rPr>
                <w:rFonts w:ascii="Helvetica Neue" w:hAnsi="Helvetica Neue" w:cs="Segoe UI"/>
              </w:rPr>
            </w:pPr>
          </w:p>
        </w:tc>
        <w:tc>
          <w:tcPr>
            <w:tcW w:w="1687" w:type="dxa"/>
            <w:shd w:val="clear" w:color="auto" w:fill="FFF2CC" w:themeFill="accent4" w:themeFillTint="33"/>
          </w:tcPr>
          <w:p w14:paraId="1518FD05" w14:textId="29CCB3F9" w:rsidR="00011FFF" w:rsidRPr="00EC7286" w:rsidRDefault="00011FFF" w:rsidP="00011FFF">
            <w:pPr>
              <w:rPr>
                <w:rFonts w:ascii="Helvetica Neue" w:hAnsi="Helvetica Neue" w:cs="Segoe UI"/>
              </w:rPr>
            </w:pPr>
          </w:p>
        </w:tc>
      </w:tr>
      <w:tr w:rsidR="00011FFF" w:rsidRPr="00EC7286" w14:paraId="1F2B0C49" w14:textId="7AAF7816" w:rsidTr="00821912">
        <w:tblPrEx>
          <w:jc w:val="left"/>
        </w:tblPrEx>
        <w:trPr>
          <w:trHeight w:val="291"/>
        </w:trPr>
        <w:tc>
          <w:tcPr>
            <w:tcW w:w="1972" w:type="dxa"/>
          </w:tcPr>
          <w:p w14:paraId="4DB2E3B9"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24688A0B" w:rsidR="00011FFF" w:rsidRPr="00CE67B9" w:rsidRDefault="00011FFF" w:rsidP="00011FFF">
            <w:pPr>
              <w:spacing w:after="160" w:line="259" w:lineRule="auto"/>
              <w:rPr>
                <w:rFonts w:ascii="Segoe UI" w:hAnsi="Segoe UI" w:cs="Segoe UI"/>
                <w:sz w:val="20"/>
                <w:szCs w:val="20"/>
              </w:rPr>
            </w:pPr>
            <w:r w:rsidRPr="00CE67B9">
              <w:rPr>
                <w:rFonts w:ascii="Segoe UI" w:hAnsi="Segoe UI" w:cs="Segoe UI"/>
                <w:sz w:val="20"/>
                <w:szCs w:val="20"/>
              </w:rPr>
              <w:t>Replace desktop computers in room 353 and room 3</w:t>
            </w:r>
            <w:r>
              <w:rPr>
                <w:rFonts w:ascii="Segoe UI" w:hAnsi="Segoe UI" w:cs="Segoe UI"/>
                <w:sz w:val="20"/>
                <w:szCs w:val="20"/>
              </w:rPr>
              <w:t xml:space="preserve">55 for Math department faculty with new desktop computers equipped with a webcam. </w:t>
            </w:r>
          </w:p>
        </w:tc>
        <w:tc>
          <w:tcPr>
            <w:tcW w:w="1180" w:type="dxa"/>
            <w:shd w:val="clear" w:color="auto" w:fill="FFF2CC" w:themeFill="accent4" w:themeFillTint="33"/>
          </w:tcPr>
          <w:p w14:paraId="6F4758EA" w14:textId="10D1F5B8" w:rsidR="00011FFF" w:rsidRPr="00CE67B9" w:rsidRDefault="00011FFF" w:rsidP="00011FFF">
            <w:pPr>
              <w:rPr>
                <w:rFonts w:ascii="Segoe UI" w:hAnsi="Segoe UI" w:cs="Segoe UI"/>
                <w:sz w:val="20"/>
                <w:szCs w:val="20"/>
              </w:rPr>
            </w:pPr>
            <w:r w:rsidRPr="00CE67B9">
              <w:rPr>
                <w:rFonts w:ascii="Segoe UI" w:hAnsi="Segoe UI" w:cs="Segoe UI"/>
                <w:sz w:val="20"/>
                <w:szCs w:val="20"/>
              </w:rPr>
              <w:t>$800</w:t>
            </w:r>
            <w:r>
              <w:rPr>
                <w:rFonts w:ascii="Segoe UI" w:hAnsi="Segoe UI" w:cs="Segoe UI"/>
                <w:sz w:val="20"/>
                <w:szCs w:val="20"/>
              </w:rPr>
              <w:t>0</w:t>
            </w:r>
          </w:p>
        </w:tc>
        <w:tc>
          <w:tcPr>
            <w:tcW w:w="1687" w:type="dxa"/>
            <w:shd w:val="clear" w:color="auto" w:fill="FFF2CC" w:themeFill="accent4" w:themeFillTint="33"/>
          </w:tcPr>
          <w:p w14:paraId="389EEAF0" w14:textId="2E167FD5" w:rsidR="00011FFF" w:rsidRPr="00EC7286" w:rsidRDefault="0025719E" w:rsidP="00011FFF">
            <w:pPr>
              <w:rPr>
                <w:rFonts w:ascii="Helvetica Neue" w:hAnsi="Helvetica Neue" w:cs="Segoe UI"/>
              </w:rPr>
            </w:pPr>
            <w:r>
              <w:rPr>
                <w:rFonts w:ascii="Helvetica Neue" w:hAnsi="Helvetica Neue" w:cs="Segoe UI"/>
              </w:rPr>
              <w:t>3</w:t>
            </w:r>
          </w:p>
        </w:tc>
      </w:tr>
      <w:tr w:rsidR="00011FFF" w:rsidRPr="00EC7286" w14:paraId="44AE0BEA" w14:textId="43A7D846" w:rsidTr="00BC7C2B">
        <w:tblPrEx>
          <w:jc w:val="left"/>
        </w:tblPrEx>
        <w:trPr>
          <w:trHeight w:val="291"/>
        </w:trPr>
        <w:tc>
          <w:tcPr>
            <w:tcW w:w="1972" w:type="dxa"/>
            <w:shd w:val="clear" w:color="auto" w:fill="93CBB7"/>
          </w:tcPr>
          <w:p w14:paraId="518308FC" w14:textId="77777777" w:rsidR="00011FFF" w:rsidRPr="00BC7C2B" w:rsidRDefault="00011FFF" w:rsidP="00011FF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011FFF" w:rsidRPr="00BC7C2B" w:rsidRDefault="00011FFF" w:rsidP="00011FFF">
            <w:pPr>
              <w:rPr>
                <w:rFonts w:ascii="Helvetica Neue" w:hAnsi="Helvetica Neue" w:cs="Segoe UI"/>
                <w:strike/>
                <w:color w:val="000000" w:themeColor="text1"/>
                <w:sz w:val="16"/>
                <w:szCs w:val="16"/>
              </w:rPr>
            </w:pPr>
          </w:p>
        </w:tc>
      </w:tr>
      <w:tr w:rsidR="00011FFF" w:rsidRPr="00EC7286" w14:paraId="7C87ED18" w14:textId="17DF5CB8" w:rsidTr="00821912">
        <w:tblPrEx>
          <w:jc w:val="left"/>
        </w:tblPrEx>
        <w:trPr>
          <w:trHeight w:val="291"/>
        </w:trPr>
        <w:tc>
          <w:tcPr>
            <w:tcW w:w="1972" w:type="dxa"/>
          </w:tcPr>
          <w:p w14:paraId="640BDB29"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62FA5A4B" w:rsidR="00011FFF" w:rsidRPr="00CE67B9" w:rsidRDefault="00011FFF" w:rsidP="00011FFF">
            <w:pPr>
              <w:rPr>
                <w:rFonts w:ascii="Segoe UI" w:hAnsi="Segoe UI" w:cs="Segoe UI"/>
                <w:sz w:val="20"/>
                <w:szCs w:val="20"/>
              </w:rPr>
            </w:pPr>
            <w:r>
              <w:rPr>
                <w:rFonts w:ascii="Segoe UI" w:hAnsi="Segoe UI" w:cs="Segoe UI"/>
                <w:sz w:val="20"/>
                <w:szCs w:val="20"/>
              </w:rPr>
              <w:t xml:space="preserve">Classroom analysis to ensure that Math classes fit in their classroom. Also the department requests more permanent use of room 322, in addition to room 321, and permanent use of another classroom to store the new laptop cart and hold classes.  </w:t>
            </w:r>
          </w:p>
        </w:tc>
        <w:tc>
          <w:tcPr>
            <w:tcW w:w="1180" w:type="dxa"/>
            <w:shd w:val="clear" w:color="auto" w:fill="FFF2CC" w:themeFill="accent4" w:themeFillTint="33"/>
          </w:tcPr>
          <w:p w14:paraId="4372DF1F" w14:textId="77777777" w:rsidR="00011FFF" w:rsidRDefault="00011FFF" w:rsidP="00011FFF">
            <w:pPr>
              <w:rPr>
                <w:rFonts w:ascii="Segoe UI" w:hAnsi="Segoe UI" w:cs="Segoe UI"/>
                <w:sz w:val="20"/>
                <w:szCs w:val="20"/>
              </w:rPr>
            </w:pPr>
            <w:r>
              <w:rPr>
                <w:rFonts w:ascii="Segoe UI" w:hAnsi="Segoe UI" w:cs="Segoe UI"/>
                <w:sz w:val="20"/>
                <w:szCs w:val="20"/>
              </w:rPr>
              <w:t>Need assistance from Dean or VPI</w:t>
            </w:r>
          </w:p>
          <w:p w14:paraId="76D24AAE" w14:textId="77F3FB5A" w:rsidR="00011FFF" w:rsidRPr="00EC7286" w:rsidRDefault="00011FFF" w:rsidP="00011FFF">
            <w:pPr>
              <w:rPr>
                <w:rFonts w:ascii="Helvetica Neue" w:hAnsi="Helvetica Neue" w:cs="Segoe UI"/>
                <w:strike/>
              </w:rPr>
            </w:pPr>
          </w:p>
        </w:tc>
        <w:tc>
          <w:tcPr>
            <w:tcW w:w="1687" w:type="dxa"/>
            <w:shd w:val="clear" w:color="auto" w:fill="FFF2CC" w:themeFill="accent4" w:themeFillTint="33"/>
          </w:tcPr>
          <w:p w14:paraId="6EF4C0EE" w14:textId="5FF62D9B" w:rsidR="00011FFF" w:rsidRPr="001424E4" w:rsidRDefault="0025719E" w:rsidP="00011FFF">
            <w:pPr>
              <w:rPr>
                <w:rFonts w:ascii="Helvetica Neue" w:hAnsi="Helvetica Neue" w:cs="Segoe UI"/>
              </w:rPr>
            </w:pPr>
            <w:r>
              <w:rPr>
                <w:rFonts w:ascii="Helvetica Neue" w:hAnsi="Helvetica Neue" w:cs="Segoe UI"/>
              </w:rPr>
              <w:t>1</w:t>
            </w:r>
          </w:p>
        </w:tc>
      </w:tr>
      <w:tr w:rsidR="00011FFF" w:rsidRPr="00EC7286" w14:paraId="5FDA582B" w14:textId="3E9A4C3E" w:rsidTr="00821912">
        <w:tblPrEx>
          <w:jc w:val="left"/>
        </w:tblPrEx>
        <w:trPr>
          <w:trHeight w:val="291"/>
        </w:trPr>
        <w:tc>
          <w:tcPr>
            <w:tcW w:w="1972" w:type="dxa"/>
          </w:tcPr>
          <w:p w14:paraId="059FA38A"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lastRenderedPageBreak/>
              <w:t>Offices</w:t>
            </w:r>
          </w:p>
        </w:tc>
        <w:tc>
          <w:tcPr>
            <w:tcW w:w="5133" w:type="dxa"/>
            <w:gridSpan w:val="3"/>
            <w:shd w:val="clear" w:color="auto" w:fill="FFF2CC" w:themeFill="accent4" w:themeFillTint="33"/>
          </w:tcPr>
          <w:p w14:paraId="58519550" w14:textId="646C033C" w:rsidR="00011FFF" w:rsidRPr="00EC7286" w:rsidRDefault="00011FFF" w:rsidP="00011FFF">
            <w:pPr>
              <w:rPr>
                <w:rFonts w:ascii="Helvetica Neue" w:hAnsi="Helvetica Neue" w:cs="Segoe UI"/>
                <w:strike/>
              </w:rPr>
            </w:pPr>
            <w:r>
              <w:rPr>
                <w:rFonts w:ascii="Segoe UI" w:hAnsi="Segoe UI" w:cs="Segoe UI"/>
                <w:sz w:val="20"/>
                <w:szCs w:val="20"/>
              </w:rPr>
              <w:t>Dedicated office space is needed for adjunct faculty.  Currently more than 12 part timers share one desk in room 355.</w:t>
            </w:r>
          </w:p>
        </w:tc>
        <w:tc>
          <w:tcPr>
            <w:tcW w:w="1180" w:type="dxa"/>
            <w:shd w:val="clear" w:color="auto" w:fill="FFF2CC" w:themeFill="accent4" w:themeFillTint="33"/>
          </w:tcPr>
          <w:p w14:paraId="5AA4C5B7" w14:textId="77777777" w:rsidR="00011FFF" w:rsidRDefault="00011FFF" w:rsidP="00011FFF">
            <w:pPr>
              <w:rPr>
                <w:rFonts w:ascii="Segoe UI" w:hAnsi="Segoe UI" w:cs="Segoe UI"/>
                <w:sz w:val="20"/>
                <w:szCs w:val="20"/>
              </w:rPr>
            </w:pPr>
            <w:r>
              <w:rPr>
                <w:rFonts w:ascii="Segoe UI" w:hAnsi="Segoe UI" w:cs="Segoe UI"/>
                <w:sz w:val="20"/>
                <w:szCs w:val="20"/>
              </w:rPr>
              <w:t>Need assistance from Dean or VPI</w:t>
            </w:r>
          </w:p>
          <w:p w14:paraId="4CD9F009" w14:textId="65FEB0EA" w:rsidR="00011FFF" w:rsidRPr="00EC7286" w:rsidRDefault="00011FFF" w:rsidP="00011FFF">
            <w:pPr>
              <w:rPr>
                <w:rFonts w:ascii="Helvetica Neue" w:hAnsi="Helvetica Neue" w:cs="Segoe UI"/>
                <w:strike/>
              </w:rPr>
            </w:pPr>
          </w:p>
        </w:tc>
        <w:tc>
          <w:tcPr>
            <w:tcW w:w="1687" w:type="dxa"/>
            <w:shd w:val="clear" w:color="auto" w:fill="FFF2CC" w:themeFill="accent4" w:themeFillTint="33"/>
          </w:tcPr>
          <w:p w14:paraId="406BC203" w14:textId="6B723CB2" w:rsidR="00011FFF" w:rsidRPr="0025719E" w:rsidRDefault="0025719E" w:rsidP="00011FFF">
            <w:pPr>
              <w:rPr>
                <w:rFonts w:ascii="Helvetica Neue" w:hAnsi="Helvetica Neue" w:cs="Segoe UI"/>
              </w:rPr>
            </w:pPr>
            <w:r>
              <w:rPr>
                <w:rFonts w:ascii="Helvetica Neue" w:hAnsi="Helvetica Neue" w:cs="Segoe UI"/>
              </w:rPr>
              <w:t>2</w:t>
            </w:r>
          </w:p>
        </w:tc>
      </w:tr>
      <w:tr w:rsidR="00011FFF" w:rsidRPr="00EC7286" w14:paraId="0944A8D6" w14:textId="00FEBE9E" w:rsidTr="00821912">
        <w:tblPrEx>
          <w:jc w:val="left"/>
        </w:tblPrEx>
        <w:trPr>
          <w:trHeight w:val="291"/>
        </w:trPr>
        <w:tc>
          <w:tcPr>
            <w:tcW w:w="1972" w:type="dxa"/>
          </w:tcPr>
          <w:p w14:paraId="56754DB9"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011FFF" w:rsidRPr="00EC7286" w:rsidRDefault="00011FFF" w:rsidP="00011FFF">
            <w:pPr>
              <w:rPr>
                <w:rFonts w:ascii="Helvetica Neue" w:hAnsi="Helvetica Neue" w:cs="Segoe UI"/>
                <w:strike/>
              </w:rPr>
            </w:pPr>
          </w:p>
        </w:tc>
        <w:tc>
          <w:tcPr>
            <w:tcW w:w="1180" w:type="dxa"/>
            <w:shd w:val="clear" w:color="auto" w:fill="FFF2CC" w:themeFill="accent4" w:themeFillTint="33"/>
          </w:tcPr>
          <w:p w14:paraId="716D4D8A" w14:textId="76D5FFB5" w:rsidR="00011FFF" w:rsidRPr="00EC7286" w:rsidRDefault="00011FFF" w:rsidP="00011FFF">
            <w:pPr>
              <w:rPr>
                <w:rFonts w:ascii="Helvetica Neue" w:hAnsi="Helvetica Neue" w:cs="Segoe UI"/>
                <w:strike/>
              </w:rPr>
            </w:pPr>
          </w:p>
        </w:tc>
        <w:tc>
          <w:tcPr>
            <w:tcW w:w="1687" w:type="dxa"/>
            <w:shd w:val="clear" w:color="auto" w:fill="FFF2CC" w:themeFill="accent4" w:themeFillTint="33"/>
          </w:tcPr>
          <w:p w14:paraId="47E3587D" w14:textId="779D94AB" w:rsidR="00011FFF" w:rsidRPr="00EC7286" w:rsidRDefault="00011FFF" w:rsidP="00011FFF">
            <w:pPr>
              <w:rPr>
                <w:rFonts w:ascii="Helvetica Neue" w:hAnsi="Helvetica Neue" w:cs="Segoe UI"/>
                <w:strike/>
              </w:rPr>
            </w:pPr>
          </w:p>
        </w:tc>
      </w:tr>
      <w:tr w:rsidR="00011FFF" w:rsidRPr="00EC7286" w14:paraId="7E51A990" w14:textId="77C689E0" w:rsidTr="00821912">
        <w:tblPrEx>
          <w:jc w:val="left"/>
        </w:tblPrEx>
        <w:trPr>
          <w:trHeight w:val="291"/>
        </w:trPr>
        <w:tc>
          <w:tcPr>
            <w:tcW w:w="1972" w:type="dxa"/>
          </w:tcPr>
          <w:p w14:paraId="2A0DDD67"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090289E" w:rsidR="00011FFF" w:rsidRPr="001424E4" w:rsidRDefault="00011FFF" w:rsidP="00011FFF">
            <w:pPr>
              <w:rPr>
                <w:rFonts w:ascii="Segoe UI" w:hAnsi="Segoe UI" w:cs="Segoe UI"/>
                <w:sz w:val="20"/>
                <w:szCs w:val="20"/>
              </w:rPr>
            </w:pPr>
            <w:r w:rsidRPr="001424E4">
              <w:rPr>
                <w:rFonts w:ascii="Segoe UI" w:hAnsi="Segoe UI" w:cs="Segoe UI"/>
                <w:sz w:val="20"/>
                <w:szCs w:val="20"/>
              </w:rPr>
              <w:t>Slide out shelf for use with teacher desk-8</w:t>
            </w:r>
          </w:p>
        </w:tc>
        <w:tc>
          <w:tcPr>
            <w:tcW w:w="1180" w:type="dxa"/>
            <w:shd w:val="clear" w:color="auto" w:fill="FFF2CC" w:themeFill="accent4" w:themeFillTint="33"/>
          </w:tcPr>
          <w:p w14:paraId="4B5E5E3A" w14:textId="0855D0EC" w:rsidR="00011FFF" w:rsidRPr="001424E4" w:rsidRDefault="00011FFF" w:rsidP="00011FFF">
            <w:pPr>
              <w:rPr>
                <w:rFonts w:ascii="Segoe UI" w:hAnsi="Segoe UI" w:cs="Segoe UI"/>
                <w:sz w:val="20"/>
                <w:szCs w:val="20"/>
              </w:rPr>
            </w:pPr>
            <w:r w:rsidRPr="001424E4">
              <w:rPr>
                <w:rFonts w:ascii="Segoe UI" w:hAnsi="Segoe UI" w:cs="Segoe UI"/>
                <w:sz w:val="20"/>
                <w:szCs w:val="20"/>
              </w:rPr>
              <w:t>$1600</w:t>
            </w:r>
          </w:p>
        </w:tc>
        <w:tc>
          <w:tcPr>
            <w:tcW w:w="1687" w:type="dxa"/>
            <w:shd w:val="clear" w:color="auto" w:fill="FFF2CC" w:themeFill="accent4" w:themeFillTint="33"/>
          </w:tcPr>
          <w:p w14:paraId="16A45335" w14:textId="41D4B966" w:rsidR="00011FFF" w:rsidRPr="0025719E" w:rsidRDefault="0025719E" w:rsidP="00011FFF">
            <w:pPr>
              <w:rPr>
                <w:rFonts w:ascii="Helvetica Neue" w:hAnsi="Helvetica Neue" w:cs="Segoe UI"/>
              </w:rPr>
            </w:pPr>
            <w:r w:rsidRPr="0025719E">
              <w:rPr>
                <w:rFonts w:ascii="Helvetica Neue" w:hAnsi="Helvetica Neue" w:cs="Segoe UI"/>
              </w:rPr>
              <w:t>13</w:t>
            </w:r>
          </w:p>
        </w:tc>
      </w:tr>
      <w:tr w:rsidR="00011FFF" w:rsidRPr="00EC7286" w14:paraId="7F4109C1" w14:textId="3918E368" w:rsidTr="00BC7C2B">
        <w:tblPrEx>
          <w:jc w:val="left"/>
        </w:tblPrEx>
        <w:trPr>
          <w:trHeight w:val="291"/>
        </w:trPr>
        <w:tc>
          <w:tcPr>
            <w:tcW w:w="1972" w:type="dxa"/>
            <w:shd w:val="clear" w:color="auto" w:fill="93CBB7"/>
          </w:tcPr>
          <w:p w14:paraId="1DE2F8FE" w14:textId="77777777" w:rsidR="00011FFF" w:rsidRPr="00BC7C2B" w:rsidRDefault="00011FFF" w:rsidP="00011FF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011FFF" w:rsidRPr="00BC7C2B" w:rsidRDefault="00011FFF" w:rsidP="00011FFF">
            <w:pPr>
              <w:rPr>
                <w:rFonts w:ascii="Helvetica Neue" w:hAnsi="Helvetica Neue" w:cs="Segoe UI"/>
                <w:color w:val="000000" w:themeColor="text1"/>
                <w:sz w:val="16"/>
                <w:szCs w:val="16"/>
              </w:rPr>
            </w:pPr>
          </w:p>
        </w:tc>
      </w:tr>
      <w:tr w:rsidR="00011FFF" w:rsidRPr="00EC7286" w14:paraId="312386A5" w14:textId="3F254726" w:rsidTr="00821912">
        <w:tblPrEx>
          <w:jc w:val="left"/>
        </w:tblPrEx>
        <w:trPr>
          <w:trHeight w:val="291"/>
        </w:trPr>
        <w:tc>
          <w:tcPr>
            <w:tcW w:w="1972" w:type="dxa"/>
          </w:tcPr>
          <w:p w14:paraId="7D203BE1" w14:textId="2E8A38A5"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14:paraId="58A60FDD" w14:textId="5BFCA873" w:rsidR="00011FFF" w:rsidRPr="00EC7286" w:rsidRDefault="00563ACB" w:rsidP="00011FFF">
            <w:pPr>
              <w:rPr>
                <w:rFonts w:ascii="Helvetica Neue" w:hAnsi="Helvetica Neue" w:cs="Segoe UI"/>
              </w:rPr>
            </w:pPr>
            <w:r>
              <w:rPr>
                <w:rFonts w:ascii="Helvetica Neue" w:hAnsi="Helvetica Neue" w:cs="Segoe UI"/>
              </w:rPr>
              <w:t>College Mathematics Journal Lifetime Membership</w:t>
            </w:r>
          </w:p>
        </w:tc>
        <w:tc>
          <w:tcPr>
            <w:tcW w:w="1180" w:type="dxa"/>
            <w:shd w:val="clear" w:color="auto" w:fill="FFF2CC" w:themeFill="accent4" w:themeFillTint="33"/>
          </w:tcPr>
          <w:p w14:paraId="75BB6521" w14:textId="0CBC7626" w:rsidR="00011FFF" w:rsidRPr="00EC7286" w:rsidRDefault="00563ACB" w:rsidP="00011FFF">
            <w:pPr>
              <w:rPr>
                <w:rFonts w:ascii="Helvetica Neue" w:hAnsi="Helvetica Neue" w:cs="Segoe UI"/>
              </w:rPr>
            </w:pPr>
            <w:r>
              <w:rPr>
                <w:rFonts w:ascii="Helvetica Neue" w:hAnsi="Helvetica Neue" w:cs="Segoe UI"/>
              </w:rPr>
              <w:t>$2500</w:t>
            </w:r>
          </w:p>
        </w:tc>
        <w:tc>
          <w:tcPr>
            <w:tcW w:w="1687" w:type="dxa"/>
            <w:shd w:val="clear" w:color="auto" w:fill="FFF2CC" w:themeFill="accent4" w:themeFillTint="33"/>
          </w:tcPr>
          <w:p w14:paraId="14274E54" w14:textId="191EF5B4" w:rsidR="00011FFF" w:rsidRPr="00EC7286" w:rsidRDefault="00563ACB" w:rsidP="00011FFF">
            <w:pPr>
              <w:rPr>
                <w:rFonts w:ascii="Helvetica Neue" w:hAnsi="Helvetica Neue" w:cs="Segoe UI"/>
              </w:rPr>
            </w:pPr>
            <w:r>
              <w:rPr>
                <w:rFonts w:ascii="Helvetica Neue" w:hAnsi="Helvetica Neue" w:cs="Segoe UI"/>
              </w:rPr>
              <w:t>15</w:t>
            </w:r>
          </w:p>
        </w:tc>
      </w:tr>
      <w:tr w:rsidR="00011FFF" w:rsidRPr="00EC7286" w14:paraId="54ED5985" w14:textId="42F4B7F8" w:rsidTr="00821912">
        <w:tblPrEx>
          <w:jc w:val="left"/>
        </w:tblPrEx>
        <w:trPr>
          <w:trHeight w:val="291"/>
        </w:trPr>
        <w:tc>
          <w:tcPr>
            <w:tcW w:w="1972" w:type="dxa"/>
          </w:tcPr>
          <w:p w14:paraId="3AF131E5"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64BA2A15" w14:textId="54B99793" w:rsidR="00011FFF" w:rsidRPr="00EC7286" w:rsidRDefault="00011FFF" w:rsidP="00011FFF">
            <w:pPr>
              <w:rPr>
                <w:rFonts w:ascii="Helvetica Neue" w:hAnsi="Helvetica Neue" w:cs="Segoe UI"/>
              </w:rPr>
            </w:pPr>
          </w:p>
        </w:tc>
        <w:tc>
          <w:tcPr>
            <w:tcW w:w="1687" w:type="dxa"/>
            <w:shd w:val="clear" w:color="auto" w:fill="FFF2CC" w:themeFill="accent4" w:themeFillTint="33"/>
          </w:tcPr>
          <w:p w14:paraId="41427B90" w14:textId="75258976" w:rsidR="00011FFF" w:rsidRPr="00EC7286" w:rsidRDefault="00011FFF" w:rsidP="00011FFF">
            <w:pPr>
              <w:rPr>
                <w:rFonts w:ascii="Helvetica Neue" w:hAnsi="Helvetica Neue" w:cs="Segoe UI"/>
              </w:rPr>
            </w:pPr>
          </w:p>
        </w:tc>
      </w:tr>
      <w:tr w:rsidR="00011FFF" w:rsidRPr="00EC7286" w14:paraId="204FE796" w14:textId="77777777" w:rsidTr="00821912">
        <w:tblPrEx>
          <w:jc w:val="left"/>
        </w:tblPrEx>
        <w:trPr>
          <w:trHeight w:val="291"/>
        </w:trPr>
        <w:tc>
          <w:tcPr>
            <w:tcW w:w="1972" w:type="dxa"/>
          </w:tcPr>
          <w:p w14:paraId="343CE1AA" w14:textId="65178B26"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78EA81B0" w14:textId="77777777" w:rsidR="00011FFF" w:rsidRPr="00EC7286" w:rsidRDefault="00011FFF" w:rsidP="00011FFF">
            <w:pPr>
              <w:rPr>
                <w:rFonts w:ascii="Helvetica Neue" w:hAnsi="Helvetica Neue" w:cs="Segoe UI"/>
              </w:rPr>
            </w:pPr>
          </w:p>
        </w:tc>
        <w:tc>
          <w:tcPr>
            <w:tcW w:w="1687" w:type="dxa"/>
            <w:shd w:val="clear" w:color="auto" w:fill="FFF2CC" w:themeFill="accent4" w:themeFillTint="33"/>
          </w:tcPr>
          <w:p w14:paraId="577E38A5" w14:textId="77777777" w:rsidR="00011FFF" w:rsidRPr="00EC7286" w:rsidRDefault="00011FFF" w:rsidP="00011FFF">
            <w:pPr>
              <w:rPr>
                <w:rFonts w:ascii="Helvetica Neue" w:hAnsi="Helvetica Neue" w:cs="Segoe UI"/>
              </w:rPr>
            </w:pPr>
          </w:p>
        </w:tc>
      </w:tr>
      <w:tr w:rsidR="00011FFF" w:rsidRPr="00EC7286" w14:paraId="660C171D" w14:textId="2E8B0E51" w:rsidTr="00BC7C2B">
        <w:tblPrEx>
          <w:jc w:val="left"/>
        </w:tblPrEx>
        <w:trPr>
          <w:trHeight w:val="291"/>
        </w:trPr>
        <w:tc>
          <w:tcPr>
            <w:tcW w:w="1972" w:type="dxa"/>
            <w:shd w:val="clear" w:color="auto" w:fill="93CBB7"/>
          </w:tcPr>
          <w:p w14:paraId="309020C1" w14:textId="77777777" w:rsidR="00011FFF" w:rsidRPr="00BC7C2B" w:rsidRDefault="00011FFF" w:rsidP="00011FFF">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011FFF" w:rsidRPr="00BC7C2B" w:rsidRDefault="00011FFF" w:rsidP="00011FFF">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011FFF" w:rsidRPr="00BC7C2B" w:rsidRDefault="00011FFF" w:rsidP="00011FFF">
            <w:pPr>
              <w:rPr>
                <w:rFonts w:ascii="Helvetica Neue" w:hAnsi="Helvetica Neue" w:cs="Segoe UI"/>
                <w:color w:val="000000" w:themeColor="text1"/>
                <w:sz w:val="16"/>
                <w:szCs w:val="16"/>
              </w:rPr>
            </w:pPr>
          </w:p>
        </w:tc>
      </w:tr>
      <w:tr w:rsidR="00011FFF" w:rsidRPr="00EC7286" w14:paraId="5DB815BC" w14:textId="4E375525" w:rsidTr="00821912">
        <w:tblPrEx>
          <w:jc w:val="left"/>
        </w:tblPrEx>
        <w:trPr>
          <w:trHeight w:val="291"/>
        </w:trPr>
        <w:tc>
          <w:tcPr>
            <w:tcW w:w="1972" w:type="dxa"/>
          </w:tcPr>
          <w:p w14:paraId="78DF9610" w14:textId="77777777" w:rsidR="00011FFF" w:rsidRPr="00EC7286" w:rsidRDefault="00011FFF" w:rsidP="00011FFF">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44F2873D" w14:textId="77777777" w:rsidR="00011FFF" w:rsidRDefault="00011FFF" w:rsidP="00011FFF">
            <w:pPr>
              <w:rPr>
                <w:rFonts w:ascii="Segoe UI" w:hAnsi="Segoe UI" w:cs="Segoe UI"/>
                <w:sz w:val="20"/>
                <w:szCs w:val="20"/>
              </w:rPr>
            </w:pPr>
            <w:r>
              <w:rPr>
                <w:rFonts w:ascii="Segoe UI" w:hAnsi="Segoe UI" w:cs="Segoe UI"/>
                <w:sz w:val="20"/>
                <w:szCs w:val="20"/>
              </w:rPr>
              <w:t>Food budget to continue tutor training sessions</w:t>
            </w:r>
          </w:p>
          <w:p w14:paraId="273AF9A4" w14:textId="77777777" w:rsidR="00011FFF" w:rsidRDefault="00011FFF" w:rsidP="00011FFF">
            <w:pPr>
              <w:spacing w:before="240"/>
              <w:rPr>
                <w:rFonts w:ascii="Segoe UI" w:hAnsi="Segoe UI" w:cs="Segoe UI"/>
                <w:sz w:val="20"/>
                <w:szCs w:val="20"/>
              </w:rPr>
            </w:pPr>
            <w:r>
              <w:rPr>
                <w:rFonts w:ascii="Segoe UI" w:hAnsi="Segoe UI" w:cs="Segoe UI"/>
                <w:sz w:val="20"/>
                <w:szCs w:val="20"/>
              </w:rPr>
              <w:t>$35 AMATYC membership to participate in the annual student mathlete competition</w:t>
            </w:r>
          </w:p>
          <w:p w14:paraId="348CDE8C" w14:textId="61DF7441" w:rsidR="00011FFF" w:rsidRPr="00EC7286" w:rsidRDefault="00011FFF" w:rsidP="00011FFF">
            <w:pPr>
              <w:rPr>
                <w:rFonts w:ascii="Helvetica Neue" w:hAnsi="Helvetica Neue" w:cs="Segoe UI"/>
              </w:rPr>
            </w:pPr>
          </w:p>
        </w:tc>
        <w:tc>
          <w:tcPr>
            <w:tcW w:w="1180" w:type="dxa"/>
            <w:shd w:val="clear" w:color="auto" w:fill="FFF2CC" w:themeFill="accent4" w:themeFillTint="33"/>
          </w:tcPr>
          <w:p w14:paraId="362FC35C" w14:textId="02C75BE6" w:rsidR="00011FFF" w:rsidRDefault="00011FFF" w:rsidP="00011FFF">
            <w:pPr>
              <w:rPr>
                <w:rFonts w:ascii="Helvetica Neue" w:hAnsi="Helvetica Neue" w:cs="Segoe UI"/>
              </w:rPr>
            </w:pPr>
            <w:r>
              <w:rPr>
                <w:rFonts w:ascii="Helvetica Neue" w:hAnsi="Helvetica Neue" w:cs="Segoe UI"/>
              </w:rPr>
              <w:t>$</w:t>
            </w:r>
            <w:r w:rsidRPr="00011FFF">
              <w:rPr>
                <w:rFonts w:ascii="Segoe UI" w:hAnsi="Segoe UI" w:cs="Segoe UI"/>
                <w:sz w:val="20"/>
                <w:szCs w:val="20"/>
              </w:rPr>
              <w:t>1500</w:t>
            </w:r>
          </w:p>
          <w:p w14:paraId="36270A84" w14:textId="77777777" w:rsidR="00011FFF" w:rsidRDefault="00011FFF" w:rsidP="00011FFF">
            <w:pPr>
              <w:rPr>
                <w:rFonts w:ascii="Helvetica Neue" w:hAnsi="Helvetica Neue" w:cs="Segoe UI"/>
              </w:rPr>
            </w:pPr>
          </w:p>
          <w:p w14:paraId="1B4268B8" w14:textId="2E75250B" w:rsidR="00011FFF" w:rsidRPr="00CE67B9" w:rsidRDefault="00011FFF" w:rsidP="00011FFF">
            <w:pPr>
              <w:rPr>
                <w:rFonts w:ascii="Segoe UI" w:hAnsi="Segoe UI" w:cs="Segoe UI"/>
                <w:sz w:val="20"/>
                <w:szCs w:val="20"/>
              </w:rPr>
            </w:pPr>
            <w:r>
              <w:rPr>
                <w:rFonts w:ascii="Segoe UI" w:hAnsi="Segoe UI" w:cs="Segoe UI"/>
                <w:sz w:val="20"/>
                <w:szCs w:val="20"/>
              </w:rPr>
              <w:t>$35</w:t>
            </w:r>
          </w:p>
        </w:tc>
        <w:tc>
          <w:tcPr>
            <w:tcW w:w="1687" w:type="dxa"/>
            <w:shd w:val="clear" w:color="auto" w:fill="FFF2CC" w:themeFill="accent4" w:themeFillTint="33"/>
          </w:tcPr>
          <w:p w14:paraId="22C6B4D6" w14:textId="2B61CDBD" w:rsidR="00011FFF" w:rsidRPr="001424E4" w:rsidRDefault="0025719E" w:rsidP="00011FFF">
            <w:pPr>
              <w:rPr>
                <w:rFonts w:ascii="Segoe UI" w:hAnsi="Segoe UI" w:cs="Segoe UI"/>
                <w:sz w:val="20"/>
                <w:szCs w:val="20"/>
              </w:rPr>
            </w:pPr>
            <w:r>
              <w:rPr>
                <w:rFonts w:ascii="Segoe UI" w:hAnsi="Segoe UI" w:cs="Segoe UI"/>
                <w:sz w:val="20"/>
                <w:szCs w:val="20"/>
              </w:rPr>
              <w:t>11</w:t>
            </w:r>
          </w:p>
          <w:p w14:paraId="0AD60691" w14:textId="77777777" w:rsidR="00011FFF" w:rsidRDefault="00011FFF" w:rsidP="00011FFF">
            <w:pPr>
              <w:rPr>
                <w:rFonts w:ascii="Helvetica Neue" w:hAnsi="Helvetica Neue" w:cs="Segoe UI"/>
              </w:rPr>
            </w:pPr>
          </w:p>
          <w:p w14:paraId="3BCA3D37" w14:textId="7AD0DE2E" w:rsidR="00011FFF" w:rsidRPr="001424E4" w:rsidRDefault="0025719E" w:rsidP="00011FFF">
            <w:pPr>
              <w:rPr>
                <w:rFonts w:ascii="Segoe UI" w:hAnsi="Segoe UI" w:cs="Segoe UI"/>
                <w:sz w:val="20"/>
                <w:szCs w:val="20"/>
              </w:rPr>
            </w:pPr>
            <w:r>
              <w:rPr>
                <w:rFonts w:ascii="Segoe UI" w:hAnsi="Segoe UI" w:cs="Segoe UI"/>
                <w:sz w:val="20"/>
                <w:szCs w:val="20"/>
              </w:rPr>
              <w:t>12</w:t>
            </w:r>
          </w:p>
        </w:tc>
        <w:bookmarkStart w:id="0" w:name="_GoBack"/>
        <w:bookmarkEnd w:id="0"/>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30"/>
      <w:footerReference w:type="default" r:id="rId3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BEE6" w14:textId="77777777" w:rsidR="00F070FD" w:rsidRDefault="00F070FD" w:rsidP="000A0E4A">
      <w:r>
        <w:separator/>
      </w:r>
    </w:p>
  </w:endnote>
  <w:endnote w:type="continuationSeparator" w:id="0">
    <w:p w14:paraId="3825E23F" w14:textId="77777777" w:rsidR="00F070FD" w:rsidRDefault="00F070FD"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venir Medium">
    <w:charset w:val="00"/>
    <w:family w:val="auto"/>
    <w:pitch w:val="variable"/>
    <w:sig w:usb0="800000AF" w:usb1="5000204A" w:usb2="00000000" w:usb3="00000000" w:csb0="0000009B" w:csb1="00000000"/>
  </w:font>
  <w:font w:name="HELVETICA NEUE CONDENSED BLACK">
    <w:altName w:val="Open Sans ExtraBold"/>
    <w:charset w:val="00"/>
    <w:family w:val="auto"/>
    <w:pitch w:val="variable"/>
    <w:sig w:usb0="A00002FF" w:usb1="5000205A"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693B3163" w:rsidR="00073426" w:rsidRPr="00241D3A" w:rsidRDefault="00073426"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xml:space="preserve">–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C72555">
          <w:rPr>
            <w:rFonts w:ascii="Avenir Book" w:hAnsi="Avenir Book"/>
            <w:noProof/>
            <w:sz w:val="16"/>
            <w:szCs w:val="16"/>
          </w:rPr>
          <w:t>11</w:t>
        </w:r>
        <w:r w:rsidRPr="00241D3A">
          <w:rPr>
            <w:rFonts w:ascii="Avenir Book" w:hAnsi="Avenir Book"/>
            <w:noProof/>
            <w:sz w:val="16"/>
            <w:szCs w:val="16"/>
          </w:rPr>
          <w:fldChar w:fldCharType="end"/>
        </w:r>
      </w:sdtContent>
    </w:sdt>
  </w:p>
  <w:p w14:paraId="26350136" w14:textId="77777777" w:rsidR="00073426" w:rsidRDefault="00073426"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743AE" w14:textId="77777777" w:rsidR="00F070FD" w:rsidRDefault="00F070FD" w:rsidP="000A0E4A">
      <w:r>
        <w:separator/>
      </w:r>
    </w:p>
  </w:footnote>
  <w:footnote w:type="continuationSeparator" w:id="0">
    <w:p w14:paraId="0232F3BE" w14:textId="77777777" w:rsidR="00F070FD" w:rsidRDefault="00F070FD"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6D081DD" w:rsidR="00073426" w:rsidRPr="00E156B9" w:rsidRDefault="00073426"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14:paraId="2762A754" w14:textId="3804AB9D" w:rsidR="00073426" w:rsidRPr="00E156B9" w:rsidRDefault="0007342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073426" w:rsidRDefault="00073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3"/>
  </w:num>
  <w:num w:numId="3">
    <w:abstractNumId w:val="21"/>
  </w:num>
  <w:num w:numId="4">
    <w:abstractNumId w:val="31"/>
  </w:num>
  <w:num w:numId="5">
    <w:abstractNumId w:val="7"/>
  </w:num>
  <w:num w:numId="6">
    <w:abstractNumId w:val="23"/>
  </w:num>
  <w:num w:numId="7">
    <w:abstractNumId w:val="34"/>
  </w:num>
  <w:num w:numId="8">
    <w:abstractNumId w:val="3"/>
  </w:num>
  <w:num w:numId="9">
    <w:abstractNumId w:val="35"/>
  </w:num>
  <w:num w:numId="10">
    <w:abstractNumId w:val="28"/>
  </w:num>
  <w:num w:numId="11">
    <w:abstractNumId w:val="27"/>
  </w:num>
  <w:num w:numId="12">
    <w:abstractNumId w:val="36"/>
  </w:num>
  <w:num w:numId="13">
    <w:abstractNumId w:val="8"/>
  </w:num>
  <w:num w:numId="14">
    <w:abstractNumId w:val="26"/>
  </w:num>
  <w:num w:numId="15">
    <w:abstractNumId w:val="5"/>
  </w:num>
  <w:num w:numId="16">
    <w:abstractNumId w:val="2"/>
  </w:num>
  <w:num w:numId="17">
    <w:abstractNumId w:val="12"/>
  </w:num>
  <w:num w:numId="18">
    <w:abstractNumId w:val="29"/>
  </w:num>
  <w:num w:numId="19">
    <w:abstractNumId w:val="24"/>
  </w:num>
  <w:num w:numId="20">
    <w:abstractNumId w:val="10"/>
  </w:num>
  <w:num w:numId="21">
    <w:abstractNumId w:val="14"/>
  </w:num>
  <w:num w:numId="22">
    <w:abstractNumId w:val="15"/>
  </w:num>
  <w:num w:numId="23">
    <w:abstractNumId w:val="13"/>
  </w:num>
  <w:num w:numId="24">
    <w:abstractNumId w:val="18"/>
  </w:num>
  <w:num w:numId="25">
    <w:abstractNumId w:val="25"/>
  </w:num>
  <w:num w:numId="26">
    <w:abstractNumId w:val="17"/>
  </w:num>
  <w:num w:numId="27">
    <w:abstractNumId w:val="16"/>
  </w:num>
  <w:num w:numId="28">
    <w:abstractNumId w:val="9"/>
  </w:num>
  <w:num w:numId="29">
    <w:abstractNumId w:val="19"/>
  </w:num>
  <w:num w:numId="30">
    <w:abstractNumId w:val="0"/>
  </w:num>
  <w:num w:numId="31">
    <w:abstractNumId w:val="30"/>
  </w:num>
  <w:num w:numId="32">
    <w:abstractNumId w:val="4"/>
  </w:num>
  <w:num w:numId="33">
    <w:abstractNumId w:val="22"/>
  </w:num>
  <w:num w:numId="34">
    <w:abstractNumId w:val="20"/>
  </w:num>
  <w:num w:numId="35">
    <w:abstractNumId w:val="32"/>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GT" w:vendorID="64" w:dllVersion="6" w:nlCheck="1" w:checkStyle="0"/>
  <w:activeWritingStyle w:appName="MSWord" w:lang="en-US" w:vendorID="64" w:dllVersion="6" w:nlCheck="1" w:checkStyle="1"/>
  <w:activeWritingStyle w:appName="MSWord" w:lang="en-US" w:vendorID="64" w:dllVersion="131078" w:nlCheck="1" w:checkStyle="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1FFF"/>
    <w:rsid w:val="00012E2F"/>
    <w:rsid w:val="0002643A"/>
    <w:rsid w:val="0003251A"/>
    <w:rsid w:val="00037073"/>
    <w:rsid w:val="00045335"/>
    <w:rsid w:val="00046315"/>
    <w:rsid w:val="00051DCF"/>
    <w:rsid w:val="00066A61"/>
    <w:rsid w:val="00067241"/>
    <w:rsid w:val="00073426"/>
    <w:rsid w:val="000735E4"/>
    <w:rsid w:val="00091285"/>
    <w:rsid w:val="0009191B"/>
    <w:rsid w:val="00092046"/>
    <w:rsid w:val="000930DE"/>
    <w:rsid w:val="000A0E4A"/>
    <w:rsid w:val="000C4F1D"/>
    <w:rsid w:val="000D0041"/>
    <w:rsid w:val="000D087A"/>
    <w:rsid w:val="000D2DF2"/>
    <w:rsid w:val="000D7645"/>
    <w:rsid w:val="000E7A92"/>
    <w:rsid w:val="000E7F1F"/>
    <w:rsid w:val="00100D61"/>
    <w:rsid w:val="00101CB6"/>
    <w:rsid w:val="00106447"/>
    <w:rsid w:val="00112BC5"/>
    <w:rsid w:val="001135A7"/>
    <w:rsid w:val="0011518F"/>
    <w:rsid w:val="001164BF"/>
    <w:rsid w:val="00124C49"/>
    <w:rsid w:val="00124E7D"/>
    <w:rsid w:val="001319CA"/>
    <w:rsid w:val="00135120"/>
    <w:rsid w:val="00135F5D"/>
    <w:rsid w:val="00136FD1"/>
    <w:rsid w:val="0013741D"/>
    <w:rsid w:val="001424E4"/>
    <w:rsid w:val="00145E32"/>
    <w:rsid w:val="001553A9"/>
    <w:rsid w:val="001623CE"/>
    <w:rsid w:val="00171A77"/>
    <w:rsid w:val="00175D9A"/>
    <w:rsid w:val="00182232"/>
    <w:rsid w:val="001930D6"/>
    <w:rsid w:val="001C0579"/>
    <w:rsid w:val="001C1050"/>
    <w:rsid w:val="001C2F46"/>
    <w:rsid w:val="001D0EDC"/>
    <w:rsid w:val="001E3F5C"/>
    <w:rsid w:val="001F3B1B"/>
    <w:rsid w:val="001F56EE"/>
    <w:rsid w:val="001F6AE2"/>
    <w:rsid w:val="0020247B"/>
    <w:rsid w:val="00204315"/>
    <w:rsid w:val="00211118"/>
    <w:rsid w:val="00225BDB"/>
    <w:rsid w:val="00234766"/>
    <w:rsid w:val="00241CB8"/>
    <w:rsid w:val="00241D3A"/>
    <w:rsid w:val="002420AB"/>
    <w:rsid w:val="00242A4F"/>
    <w:rsid w:val="0025719E"/>
    <w:rsid w:val="002574CB"/>
    <w:rsid w:val="00257F36"/>
    <w:rsid w:val="0026425B"/>
    <w:rsid w:val="00266533"/>
    <w:rsid w:val="00272013"/>
    <w:rsid w:val="002723D7"/>
    <w:rsid w:val="00274C68"/>
    <w:rsid w:val="002873CE"/>
    <w:rsid w:val="00290077"/>
    <w:rsid w:val="00296B59"/>
    <w:rsid w:val="002A6D25"/>
    <w:rsid w:val="002A7ED3"/>
    <w:rsid w:val="002F1CA6"/>
    <w:rsid w:val="002F76E6"/>
    <w:rsid w:val="003016DE"/>
    <w:rsid w:val="00311E8A"/>
    <w:rsid w:val="00312A82"/>
    <w:rsid w:val="0033768E"/>
    <w:rsid w:val="003462B5"/>
    <w:rsid w:val="0036216D"/>
    <w:rsid w:val="00364CF3"/>
    <w:rsid w:val="00380C1E"/>
    <w:rsid w:val="0038427D"/>
    <w:rsid w:val="00384317"/>
    <w:rsid w:val="0039058A"/>
    <w:rsid w:val="00390D15"/>
    <w:rsid w:val="003964BB"/>
    <w:rsid w:val="003A0E51"/>
    <w:rsid w:val="003A41A0"/>
    <w:rsid w:val="003A475B"/>
    <w:rsid w:val="003A78C7"/>
    <w:rsid w:val="003B32C1"/>
    <w:rsid w:val="003C417D"/>
    <w:rsid w:val="003C7A1D"/>
    <w:rsid w:val="003D616D"/>
    <w:rsid w:val="003D7F6A"/>
    <w:rsid w:val="004100D2"/>
    <w:rsid w:val="00423702"/>
    <w:rsid w:val="00425484"/>
    <w:rsid w:val="00433830"/>
    <w:rsid w:val="00437B55"/>
    <w:rsid w:val="00440527"/>
    <w:rsid w:val="0044190B"/>
    <w:rsid w:val="00444ED8"/>
    <w:rsid w:val="0045691E"/>
    <w:rsid w:val="00470CEB"/>
    <w:rsid w:val="0047187E"/>
    <w:rsid w:val="00475A16"/>
    <w:rsid w:val="004800D2"/>
    <w:rsid w:val="00480574"/>
    <w:rsid w:val="00481660"/>
    <w:rsid w:val="004955AC"/>
    <w:rsid w:val="004A09B6"/>
    <w:rsid w:val="004A25AB"/>
    <w:rsid w:val="004C067C"/>
    <w:rsid w:val="004C5FDF"/>
    <w:rsid w:val="004D735B"/>
    <w:rsid w:val="004F0C55"/>
    <w:rsid w:val="00502BE2"/>
    <w:rsid w:val="00517630"/>
    <w:rsid w:val="00520AB2"/>
    <w:rsid w:val="00521806"/>
    <w:rsid w:val="005369F7"/>
    <w:rsid w:val="00537877"/>
    <w:rsid w:val="00546859"/>
    <w:rsid w:val="00563ACB"/>
    <w:rsid w:val="0057273B"/>
    <w:rsid w:val="00572EC2"/>
    <w:rsid w:val="005832CB"/>
    <w:rsid w:val="00591A55"/>
    <w:rsid w:val="005B2C05"/>
    <w:rsid w:val="005B7EC0"/>
    <w:rsid w:val="005C5439"/>
    <w:rsid w:val="005C66CE"/>
    <w:rsid w:val="005D3CBC"/>
    <w:rsid w:val="005D65AD"/>
    <w:rsid w:val="005D73CB"/>
    <w:rsid w:val="00613145"/>
    <w:rsid w:val="00622BBB"/>
    <w:rsid w:val="006233AF"/>
    <w:rsid w:val="00624AE5"/>
    <w:rsid w:val="00625C1F"/>
    <w:rsid w:val="00642097"/>
    <w:rsid w:val="006425C8"/>
    <w:rsid w:val="00645E53"/>
    <w:rsid w:val="00647632"/>
    <w:rsid w:val="0065716F"/>
    <w:rsid w:val="00663D3B"/>
    <w:rsid w:val="00672486"/>
    <w:rsid w:val="00680152"/>
    <w:rsid w:val="00683385"/>
    <w:rsid w:val="006921DA"/>
    <w:rsid w:val="00692A9E"/>
    <w:rsid w:val="006A188B"/>
    <w:rsid w:val="006B1C11"/>
    <w:rsid w:val="006B313F"/>
    <w:rsid w:val="006C06CC"/>
    <w:rsid w:val="006D1CD2"/>
    <w:rsid w:val="006D1DFE"/>
    <w:rsid w:val="006F23C4"/>
    <w:rsid w:val="007009FE"/>
    <w:rsid w:val="007075C7"/>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5F1D"/>
    <w:rsid w:val="007D0247"/>
    <w:rsid w:val="007D4B36"/>
    <w:rsid w:val="007D7BD7"/>
    <w:rsid w:val="007E01B2"/>
    <w:rsid w:val="007E075D"/>
    <w:rsid w:val="007E1142"/>
    <w:rsid w:val="007E5DD5"/>
    <w:rsid w:val="007F4190"/>
    <w:rsid w:val="007F47F5"/>
    <w:rsid w:val="008014DE"/>
    <w:rsid w:val="00801732"/>
    <w:rsid w:val="00805A62"/>
    <w:rsid w:val="008139AF"/>
    <w:rsid w:val="00821912"/>
    <w:rsid w:val="00823007"/>
    <w:rsid w:val="00831589"/>
    <w:rsid w:val="00833EF7"/>
    <w:rsid w:val="00836F7D"/>
    <w:rsid w:val="008438C0"/>
    <w:rsid w:val="008448AD"/>
    <w:rsid w:val="008555C6"/>
    <w:rsid w:val="008651DB"/>
    <w:rsid w:val="008672E3"/>
    <w:rsid w:val="00870AEE"/>
    <w:rsid w:val="008731CA"/>
    <w:rsid w:val="00874296"/>
    <w:rsid w:val="008864E2"/>
    <w:rsid w:val="00886E53"/>
    <w:rsid w:val="008A038A"/>
    <w:rsid w:val="008A2055"/>
    <w:rsid w:val="008A7618"/>
    <w:rsid w:val="008C786C"/>
    <w:rsid w:val="008F22BD"/>
    <w:rsid w:val="0090697F"/>
    <w:rsid w:val="00906C0D"/>
    <w:rsid w:val="00910D26"/>
    <w:rsid w:val="00915801"/>
    <w:rsid w:val="009433D4"/>
    <w:rsid w:val="009471CD"/>
    <w:rsid w:val="00952A07"/>
    <w:rsid w:val="00957B47"/>
    <w:rsid w:val="009615CF"/>
    <w:rsid w:val="00965F94"/>
    <w:rsid w:val="009662AA"/>
    <w:rsid w:val="00967CC3"/>
    <w:rsid w:val="00973936"/>
    <w:rsid w:val="00986C40"/>
    <w:rsid w:val="009979A6"/>
    <w:rsid w:val="009A4E71"/>
    <w:rsid w:val="009C2B01"/>
    <w:rsid w:val="009D3608"/>
    <w:rsid w:val="009D74A9"/>
    <w:rsid w:val="009E1BD3"/>
    <w:rsid w:val="00A00EF3"/>
    <w:rsid w:val="00A24445"/>
    <w:rsid w:val="00A45E54"/>
    <w:rsid w:val="00A5253D"/>
    <w:rsid w:val="00A67C23"/>
    <w:rsid w:val="00A74FA1"/>
    <w:rsid w:val="00AA7CE6"/>
    <w:rsid w:val="00AB37A8"/>
    <w:rsid w:val="00AB53FB"/>
    <w:rsid w:val="00AB5573"/>
    <w:rsid w:val="00AB7D49"/>
    <w:rsid w:val="00AC00B6"/>
    <w:rsid w:val="00AC3850"/>
    <w:rsid w:val="00AC4B9E"/>
    <w:rsid w:val="00AC6D15"/>
    <w:rsid w:val="00AD4F79"/>
    <w:rsid w:val="00AD6A4E"/>
    <w:rsid w:val="00AD72FF"/>
    <w:rsid w:val="00AD7CA3"/>
    <w:rsid w:val="00AE229E"/>
    <w:rsid w:val="00AE4E48"/>
    <w:rsid w:val="00AE7643"/>
    <w:rsid w:val="00AF0348"/>
    <w:rsid w:val="00AF1275"/>
    <w:rsid w:val="00B1451D"/>
    <w:rsid w:val="00B145A3"/>
    <w:rsid w:val="00B14F7F"/>
    <w:rsid w:val="00B2111F"/>
    <w:rsid w:val="00B27575"/>
    <w:rsid w:val="00B373BE"/>
    <w:rsid w:val="00B414CB"/>
    <w:rsid w:val="00B42ED8"/>
    <w:rsid w:val="00B54F62"/>
    <w:rsid w:val="00B714AF"/>
    <w:rsid w:val="00B74E1E"/>
    <w:rsid w:val="00B81621"/>
    <w:rsid w:val="00B816A9"/>
    <w:rsid w:val="00B865DC"/>
    <w:rsid w:val="00BA1EAA"/>
    <w:rsid w:val="00BC24A8"/>
    <w:rsid w:val="00BC7C2B"/>
    <w:rsid w:val="00BC7C72"/>
    <w:rsid w:val="00BF4F9D"/>
    <w:rsid w:val="00C00354"/>
    <w:rsid w:val="00C03DE1"/>
    <w:rsid w:val="00C10055"/>
    <w:rsid w:val="00C23BFE"/>
    <w:rsid w:val="00C36BCB"/>
    <w:rsid w:val="00C40D58"/>
    <w:rsid w:val="00C44036"/>
    <w:rsid w:val="00C52C08"/>
    <w:rsid w:val="00C634A7"/>
    <w:rsid w:val="00C645CB"/>
    <w:rsid w:val="00C6550D"/>
    <w:rsid w:val="00C72555"/>
    <w:rsid w:val="00C760C8"/>
    <w:rsid w:val="00C849C8"/>
    <w:rsid w:val="00C850E0"/>
    <w:rsid w:val="00C93B45"/>
    <w:rsid w:val="00CA7CD3"/>
    <w:rsid w:val="00CB73C0"/>
    <w:rsid w:val="00CB744B"/>
    <w:rsid w:val="00CC152D"/>
    <w:rsid w:val="00CC3DCA"/>
    <w:rsid w:val="00CD46CB"/>
    <w:rsid w:val="00CD4A21"/>
    <w:rsid w:val="00CD79A5"/>
    <w:rsid w:val="00CE36CF"/>
    <w:rsid w:val="00CE4AFE"/>
    <w:rsid w:val="00CE67B9"/>
    <w:rsid w:val="00CE736E"/>
    <w:rsid w:val="00CF13E1"/>
    <w:rsid w:val="00CF4B73"/>
    <w:rsid w:val="00D117C4"/>
    <w:rsid w:val="00D13015"/>
    <w:rsid w:val="00D13C0F"/>
    <w:rsid w:val="00D247D1"/>
    <w:rsid w:val="00D306F5"/>
    <w:rsid w:val="00D32B9E"/>
    <w:rsid w:val="00D34063"/>
    <w:rsid w:val="00D406CE"/>
    <w:rsid w:val="00D62743"/>
    <w:rsid w:val="00D62BCA"/>
    <w:rsid w:val="00D64A83"/>
    <w:rsid w:val="00D65BFC"/>
    <w:rsid w:val="00D73E71"/>
    <w:rsid w:val="00D77CC1"/>
    <w:rsid w:val="00D801A5"/>
    <w:rsid w:val="00D80C8B"/>
    <w:rsid w:val="00D83452"/>
    <w:rsid w:val="00D83C4C"/>
    <w:rsid w:val="00D92396"/>
    <w:rsid w:val="00D92A43"/>
    <w:rsid w:val="00D97A4C"/>
    <w:rsid w:val="00DA6E5A"/>
    <w:rsid w:val="00DA79E6"/>
    <w:rsid w:val="00DC68F4"/>
    <w:rsid w:val="00DD0BC8"/>
    <w:rsid w:val="00DD6192"/>
    <w:rsid w:val="00DE1539"/>
    <w:rsid w:val="00DE2251"/>
    <w:rsid w:val="00E12E9E"/>
    <w:rsid w:val="00E156B9"/>
    <w:rsid w:val="00E16224"/>
    <w:rsid w:val="00E25045"/>
    <w:rsid w:val="00E35C34"/>
    <w:rsid w:val="00E4053F"/>
    <w:rsid w:val="00E52169"/>
    <w:rsid w:val="00E52761"/>
    <w:rsid w:val="00E5593E"/>
    <w:rsid w:val="00E66C4E"/>
    <w:rsid w:val="00E87824"/>
    <w:rsid w:val="00E87A17"/>
    <w:rsid w:val="00E902F3"/>
    <w:rsid w:val="00E963F8"/>
    <w:rsid w:val="00E96447"/>
    <w:rsid w:val="00EA12B6"/>
    <w:rsid w:val="00EA2E64"/>
    <w:rsid w:val="00EC7286"/>
    <w:rsid w:val="00ED2F21"/>
    <w:rsid w:val="00ED4468"/>
    <w:rsid w:val="00EE3904"/>
    <w:rsid w:val="00EF012D"/>
    <w:rsid w:val="00EF400A"/>
    <w:rsid w:val="00F00050"/>
    <w:rsid w:val="00F051BE"/>
    <w:rsid w:val="00F058E8"/>
    <w:rsid w:val="00F06071"/>
    <w:rsid w:val="00F070FD"/>
    <w:rsid w:val="00F1333E"/>
    <w:rsid w:val="00F20568"/>
    <w:rsid w:val="00F26DBA"/>
    <w:rsid w:val="00F3010E"/>
    <w:rsid w:val="00F32166"/>
    <w:rsid w:val="00F35125"/>
    <w:rsid w:val="00F453D2"/>
    <w:rsid w:val="00F4718F"/>
    <w:rsid w:val="00F504E2"/>
    <w:rsid w:val="00F627E8"/>
    <w:rsid w:val="00F635AA"/>
    <w:rsid w:val="00F6760C"/>
    <w:rsid w:val="00F71C75"/>
    <w:rsid w:val="00F73A9F"/>
    <w:rsid w:val="00FA4B17"/>
    <w:rsid w:val="00FA5746"/>
    <w:rsid w:val="00FA667C"/>
    <w:rsid w:val="00FA7ABE"/>
    <w:rsid w:val="00FB7E83"/>
    <w:rsid w:val="00FC65B7"/>
    <w:rsid w:val="00FD0A03"/>
    <w:rsid w:val="00FD28F4"/>
    <w:rsid w:val="00FD522B"/>
    <w:rsid w:val="00FD5BB4"/>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1">
    <w:name w:val="Unresolved Mention1"/>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49180533">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2892481">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keleycitycollege.edu/math/files/2020/06/BCC-2020-2021-MATHMATICS-AS-T.pdf" TargetMode="External"/><Relationship Id="rId18" Type="http://schemas.openxmlformats.org/officeDocument/2006/relationships/hyperlink" Target="https://drive.google.com/file/d/14C9cxxXt_YAzK_LJEVPSD_fJwwcWUVps/view?usp=sharing"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app.powerbi.com/view?r=eyJrIjoiZmJlODJiODktZjM0OC00ZWIwLWIzNDMtN2Y1Yzc3ZGFhNGRhIiwidCI6ImVlYTE2YTE2LTQ4YWYtNDc3Yi05MTEzLTA1YjFjMDExMjNmZiIsImMiOjZ9"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9" Type="http://schemas.openxmlformats.org/officeDocument/2006/relationships/hyperlink" Target="https://drive.google.com/drive/folders/1SityYoJ8rYTzcYq_Iwtr59fJ6205LWIX?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psayavong@peralta.edu?subject=Program%20Review%20Data%20Dashboard%20Assistance" TargetMode="External"/><Relationship Id="rId23" Type="http://schemas.openxmlformats.org/officeDocument/2006/relationships/diagramData" Target="diagrams/data1.xml"/><Relationship Id="rId28" Type="http://schemas.openxmlformats.org/officeDocument/2006/relationships/hyperlink" Target="https://drive.google.com/file/d/1AaC-W2_qjNaYbe6h8WjQ4_HIX43eBctx/view?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www.berkeleycitycollege.edu/prm/files/2020/09/Student-Equity-Plan-2019-2020.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rkeleycitycollege.edu/prm/bcc-plans/" TargetMode="External"/><Relationship Id="rId22"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27" Type="http://schemas.microsoft.com/office/2007/relationships/diagramDrawing" Target="diagrams/drawing1.xm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t>
        <a:bodyPr/>
        <a:lstStyle/>
        <a:p>
          <a:endParaRPr lang="en-US"/>
        </a:p>
      </dgm:t>
    </dgm:pt>
    <dgm:pt modelId="{9E871FDA-9D86-6C40-8CFE-FE9FE43768EA}" type="pres">
      <dgm:prSet presAssocID="{5203764F-3CE9-2E4D-9C87-CAF366DBE249}" presName="sibTrans" presStyleLbl="sibTrans2D1" presStyleIdx="0" presStyleCnt="2"/>
      <dgm:spPr/>
      <dgm:t>
        <a:bodyPr/>
        <a:lstStyle/>
        <a:p>
          <a:endParaRPr lang="en-US"/>
        </a:p>
      </dgm:t>
    </dgm:pt>
    <dgm:pt modelId="{755A8B9A-9536-E547-A24A-267FB55ABD86}" type="pres">
      <dgm:prSet presAssocID="{5203764F-3CE9-2E4D-9C87-CAF366DBE249}" presName="connectorText" presStyleLbl="sibTrans2D1" presStyleIdx="0" presStyleCnt="2"/>
      <dgm:spPr/>
      <dgm:t>
        <a:bodyPr/>
        <a:lstStyle/>
        <a:p>
          <a:endParaRPr lang="en-US"/>
        </a:p>
      </dgm:t>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t>
        <a:bodyPr/>
        <a:lstStyle/>
        <a:p>
          <a:endParaRPr lang="en-US"/>
        </a:p>
      </dgm:t>
    </dgm:pt>
    <dgm:pt modelId="{D3FFA247-1F1E-7F47-ABBA-EFF31D098C0E}" type="pres">
      <dgm:prSet presAssocID="{5FCDCA31-BCB6-7B4B-882E-5D10D5D5B8AB}" presName="sibTrans" presStyleLbl="sibTrans2D1" presStyleIdx="1" presStyleCnt="2"/>
      <dgm:spPr/>
      <dgm:t>
        <a:bodyPr/>
        <a:lstStyle/>
        <a:p>
          <a:endParaRPr lang="en-US"/>
        </a:p>
      </dgm:t>
    </dgm:pt>
    <dgm:pt modelId="{2412F192-E902-B24F-80F3-D1E27C8F5855}" type="pres">
      <dgm:prSet presAssocID="{5FCDCA31-BCB6-7B4B-882E-5D10D5D5B8AB}" presName="connectorText" presStyleLbl="sibTrans2D1" presStyleIdx="1" presStyleCnt="2"/>
      <dgm:spPr/>
      <dgm:t>
        <a:bodyPr/>
        <a:lstStyle/>
        <a:p>
          <a:endParaRPr lang="en-US"/>
        </a:p>
      </dgm:t>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t>
        <a:bodyPr/>
        <a:lstStyle/>
        <a:p>
          <a:endParaRPr lang="en-US"/>
        </a:p>
      </dgm:t>
    </dgm:pt>
  </dgm:ptLst>
  <dgm:cxnLst>
    <dgm:cxn modelId="{B7171294-B298-FB45-81D9-64FBA3C0C097}" type="presOf" srcId="{A819144C-FB54-E243-A9FD-78A09AD4F471}" destId="{7A84BABD-C1DD-4D48-B225-780D9CE4A7BF}"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984BA435-96FA-6048-AD6F-F0BEE8DCC508}" type="presOf" srcId="{5203764F-3CE9-2E4D-9C87-CAF366DBE249}" destId="{755A8B9A-9536-E547-A24A-267FB55ABD86}" srcOrd="1"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3B4779BC-3F2E-DA44-8066-977442B558DA}" type="presOf" srcId="{8FB58275-C092-EC44-9C68-632B162037D0}" destId="{6B1671CE-68B5-B84C-BE1E-FA706F918A22}"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5110</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Claudia Abadia</cp:lastModifiedBy>
  <cp:revision>2</cp:revision>
  <dcterms:created xsi:type="dcterms:W3CDTF">2021-11-30T07:15:00Z</dcterms:created>
  <dcterms:modified xsi:type="dcterms:W3CDTF">2021-11-30T07:15:00Z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