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541A4C" w14:paraId="1150B8DD" w14:textId="77777777" w:rsidTr="00E35ADB">
        <w:trPr>
          <w:trHeight w:val="709"/>
        </w:trPr>
        <w:tc>
          <w:tcPr>
            <w:tcW w:w="9985" w:type="dxa"/>
            <w:tcBorders>
              <w:bottom w:val="single" w:sz="4" w:space="0" w:color="auto"/>
            </w:tcBorders>
            <w:shd w:val="clear" w:color="auto" w:fill="009193"/>
            <w:vAlign w:val="center"/>
          </w:tcPr>
          <w:p w14:paraId="5462F026" w14:textId="77777777" w:rsidR="00763C6D" w:rsidRPr="00541A4C" w:rsidRDefault="00763C6D" w:rsidP="00763C6D">
            <w:pPr>
              <w:pStyle w:val="NoSpacing"/>
              <w:jc w:val="center"/>
              <w:rPr>
                <w:rFonts w:ascii="Times New Roman" w:hAnsi="Times New Roman" w:cs="Times New Roman"/>
                <w:b/>
                <w:bCs/>
                <w:color w:val="FFFFFF" w:themeColor="background1"/>
                <w:sz w:val="24"/>
                <w:szCs w:val="24"/>
              </w:rPr>
            </w:pPr>
            <w:r w:rsidRPr="00541A4C">
              <w:rPr>
                <w:rFonts w:ascii="Times New Roman" w:hAnsi="Times New Roman" w:cs="Times New Roman"/>
                <w:b/>
                <w:bCs/>
                <w:color w:val="FFFFFF" w:themeColor="background1"/>
                <w:sz w:val="24"/>
                <w:szCs w:val="24"/>
              </w:rPr>
              <w:t>Berkeley City College’s mission is to provide our diverse community with</w:t>
            </w:r>
          </w:p>
          <w:p w14:paraId="72A3CF32" w14:textId="77777777" w:rsidR="00763C6D" w:rsidRPr="00541A4C" w:rsidRDefault="00763C6D" w:rsidP="00763C6D">
            <w:pPr>
              <w:pStyle w:val="NoSpacing"/>
              <w:jc w:val="center"/>
              <w:rPr>
                <w:rFonts w:ascii="Times New Roman" w:hAnsi="Times New Roman" w:cs="Times New Roman"/>
                <w:sz w:val="24"/>
                <w:szCs w:val="24"/>
              </w:rPr>
            </w:pPr>
            <w:r w:rsidRPr="00541A4C">
              <w:rPr>
                <w:rFonts w:ascii="Times New Roman" w:hAnsi="Times New Roman" w:cs="Times New Roman"/>
                <w:b/>
                <w:bCs/>
                <w:color w:val="FFFFFF" w:themeColor="background1"/>
                <w:sz w:val="24"/>
                <w:szCs w:val="24"/>
              </w:rPr>
              <w:t>educational opportunities, promote student success, and to transform lives.</w:t>
            </w:r>
          </w:p>
        </w:tc>
      </w:tr>
    </w:tbl>
    <w:p w14:paraId="53289B07" w14:textId="77777777" w:rsidR="001C2F46" w:rsidRPr="00541A4C" w:rsidRDefault="001C2F46" w:rsidP="00D8380B"/>
    <w:p w14:paraId="289D9065" w14:textId="0FB94F6C" w:rsidR="00763C6D" w:rsidRPr="00541A4C" w:rsidRDefault="00763C6D" w:rsidP="00763C6D">
      <w:pPr>
        <w:pStyle w:val="NoSpacing"/>
        <w:jc w:val="center"/>
        <w:rPr>
          <w:rFonts w:ascii="Times New Roman" w:hAnsi="Times New Roman" w:cs="Times New Roman"/>
          <w:b/>
          <w:bCs/>
          <w:sz w:val="24"/>
          <w:szCs w:val="24"/>
        </w:rPr>
      </w:pPr>
      <w:r w:rsidRPr="00541A4C">
        <w:rPr>
          <w:rFonts w:ascii="Times New Roman" w:hAnsi="Times New Roman" w:cs="Times New Roman"/>
          <w:b/>
          <w:bCs/>
          <w:sz w:val="24"/>
          <w:szCs w:val="24"/>
        </w:rPr>
        <w:t xml:space="preserve">Introduction and </w:t>
      </w:r>
      <w:r w:rsidR="00AD72FF" w:rsidRPr="00541A4C">
        <w:rPr>
          <w:rFonts w:ascii="Times New Roman" w:hAnsi="Times New Roman" w:cs="Times New Roman"/>
          <w:b/>
          <w:bCs/>
          <w:sz w:val="24"/>
          <w:szCs w:val="24"/>
        </w:rPr>
        <w:t>Directions</w:t>
      </w:r>
    </w:p>
    <w:p w14:paraId="1A350DCC" w14:textId="77777777" w:rsidR="00763C6D" w:rsidRPr="00541A4C" w:rsidRDefault="00763C6D" w:rsidP="00763C6D">
      <w:pPr>
        <w:pStyle w:val="NoSpacing"/>
        <w:rPr>
          <w:rFonts w:ascii="Times New Roman" w:hAnsi="Times New Roman" w:cs="Times New Roman"/>
          <w:sz w:val="24"/>
          <w:szCs w:val="24"/>
        </w:rPr>
      </w:pPr>
    </w:p>
    <w:p w14:paraId="422C49F8" w14:textId="00190135" w:rsidR="001C2F46" w:rsidRPr="00541A4C" w:rsidRDefault="00ED3C87" w:rsidP="00763C6D">
      <w:pPr>
        <w:pStyle w:val="BodyText"/>
        <w:rPr>
          <w:rFonts w:ascii="Times New Roman" w:hAnsi="Times New Roman" w:cs="Times New Roman"/>
          <w:sz w:val="24"/>
          <w:szCs w:val="24"/>
        </w:rPr>
      </w:pPr>
      <w:r w:rsidRPr="00541A4C">
        <w:rPr>
          <w:rFonts w:ascii="Times New Roman" w:hAnsi="Times New Roman" w:cs="Times New Roman"/>
          <w:sz w:val="24"/>
          <w:szCs w:val="24"/>
        </w:rPr>
        <w:t>Berkeley City College</w:t>
      </w:r>
      <w:r w:rsidR="00502DDD" w:rsidRPr="00541A4C">
        <w:rPr>
          <w:rFonts w:ascii="Times New Roman" w:hAnsi="Times New Roman" w:cs="Times New Roman"/>
          <w:sz w:val="24"/>
          <w:szCs w:val="24"/>
        </w:rPr>
        <w:t xml:space="preserve"> (BCC), in conjunction with the Peralta community College District, </w:t>
      </w:r>
      <w:r w:rsidR="00763C6D" w:rsidRPr="00541A4C">
        <w:rPr>
          <w:rFonts w:ascii="Times New Roman" w:hAnsi="Times New Roman" w:cs="Times New Roman"/>
          <w:sz w:val="24"/>
          <w:szCs w:val="24"/>
        </w:rPr>
        <w:t xml:space="preserve">has an institutional effectiveness process which consists of the following components: </w:t>
      </w:r>
      <w:proofErr w:type="gramStart"/>
      <w:r w:rsidR="00763C6D" w:rsidRPr="00541A4C">
        <w:rPr>
          <w:rFonts w:ascii="Times New Roman" w:hAnsi="Times New Roman" w:cs="Times New Roman"/>
          <w:sz w:val="24"/>
          <w:szCs w:val="24"/>
        </w:rPr>
        <w:t>a</w:t>
      </w:r>
      <w:proofErr w:type="gramEnd"/>
      <w:r w:rsidR="00763C6D" w:rsidRPr="00541A4C">
        <w:rPr>
          <w:rFonts w:ascii="Times New Roman" w:hAnsi="Times New Roman" w:cs="Times New Roman"/>
          <w:sz w:val="24"/>
          <w:szCs w:val="24"/>
        </w:rPr>
        <w:t xml:space="preserve"> District-wide Strategic Plan which is updated every six years; Comprehensive Program Reviews </w:t>
      </w:r>
      <w:r w:rsidR="00502DDD" w:rsidRPr="00541A4C">
        <w:rPr>
          <w:rFonts w:ascii="Times New Roman" w:hAnsi="Times New Roman" w:cs="Times New Roman"/>
          <w:sz w:val="24"/>
          <w:szCs w:val="24"/>
        </w:rPr>
        <w:t xml:space="preserve">(CPRs) </w:t>
      </w:r>
      <w:r w:rsidR="00763C6D" w:rsidRPr="00541A4C">
        <w:rPr>
          <w:rFonts w:ascii="Times New Roman" w:hAnsi="Times New Roman" w:cs="Times New Roman"/>
          <w:sz w:val="24"/>
          <w:szCs w:val="24"/>
        </w:rPr>
        <w:t xml:space="preserve">which are completed every three years; and Annual Program Updates (APUs) which are completed in non-program review years.  </w:t>
      </w:r>
    </w:p>
    <w:p w14:paraId="037E4CC5" w14:textId="2CEA6C77" w:rsidR="001C2F46" w:rsidRPr="00541A4C" w:rsidRDefault="001C2F46" w:rsidP="00763C6D">
      <w:pPr>
        <w:pStyle w:val="BodyText"/>
        <w:rPr>
          <w:rFonts w:ascii="Times New Roman" w:hAnsi="Times New Roman" w:cs="Times New Roman"/>
          <w:sz w:val="24"/>
          <w:szCs w:val="24"/>
        </w:rPr>
      </w:pPr>
    </w:p>
    <w:p w14:paraId="384FC994" w14:textId="181357E1" w:rsidR="001C64A6" w:rsidRPr="00541A4C" w:rsidRDefault="001C64A6" w:rsidP="00763C6D">
      <w:pPr>
        <w:pStyle w:val="BodyText"/>
        <w:rPr>
          <w:rFonts w:ascii="Times New Roman" w:hAnsi="Times New Roman" w:cs="Times New Roman"/>
          <w:b/>
          <w:bCs/>
          <w:sz w:val="24"/>
          <w:szCs w:val="24"/>
        </w:rPr>
      </w:pPr>
      <w:r w:rsidRPr="00541A4C">
        <w:rPr>
          <w:rFonts w:ascii="Times New Roman" w:hAnsi="Times New Roman" w:cs="Times New Roman"/>
          <w:b/>
          <w:bCs/>
          <w:sz w:val="24"/>
          <w:szCs w:val="24"/>
        </w:rPr>
        <w:t>TIMELINE</w:t>
      </w:r>
    </w:p>
    <w:p w14:paraId="5B3B5209" w14:textId="26E2D638" w:rsidR="001C2F46" w:rsidRPr="00541A4C" w:rsidRDefault="00BF543C" w:rsidP="001C2F46">
      <w:pPr>
        <w:pStyle w:val="BodyText"/>
        <w:rPr>
          <w:rFonts w:ascii="Times New Roman" w:hAnsi="Times New Roman" w:cs="Times New Roman"/>
          <w:sz w:val="24"/>
          <w:szCs w:val="24"/>
        </w:rPr>
      </w:pPr>
      <w:r w:rsidRPr="00541A4C">
        <w:rPr>
          <w:rFonts w:ascii="Times New Roman" w:hAnsi="Times New Roman" w:cs="Times New Roman"/>
          <w:sz w:val="24"/>
          <w:szCs w:val="24"/>
        </w:rPr>
        <w:t>Annual Program Update (APU) 2022-2023</w:t>
      </w:r>
      <w:r w:rsidR="001C2F46" w:rsidRPr="00541A4C">
        <w:rPr>
          <w:rFonts w:ascii="Times New Roman" w:hAnsi="Times New Roman" w:cs="Times New Roman"/>
          <w:sz w:val="24"/>
          <w:szCs w:val="24"/>
        </w:rPr>
        <w:t xml:space="preserve"> timeline has been developed for each program and services to guide</w:t>
      </w:r>
      <w:r w:rsidR="00423702" w:rsidRPr="00541A4C">
        <w:rPr>
          <w:rFonts w:ascii="Times New Roman" w:hAnsi="Times New Roman" w:cs="Times New Roman"/>
          <w:sz w:val="24"/>
          <w:szCs w:val="24"/>
        </w:rPr>
        <w:t xml:space="preserve"> through the semester</w:t>
      </w:r>
      <w:r w:rsidR="001C2F46" w:rsidRPr="00541A4C">
        <w:rPr>
          <w:rFonts w:ascii="Times New Roman" w:hAnsi="Times New Roman" w:cs="Times New Roman"/>
          <w:sz w:val="24"/>
          <w:szCs w:val="24"/>
        </w:rPr>
        <w:t xml:space="preserve">.  Please review and work with your Deans, Managers, Department Chairs and/or Supervisors to complete this </w:t>
      </w:r>
      <w:r w:rsidR="00502DDD" w:rsidRPr="00541A4C">
        <w:rPr>
          <w:rFonts w:ascii="Times New Roman" w:hAnsi="Times New Roman" w:cs="Times New Roman"/>
          <w:sz w:val="24"/>
          <w:szCs w:val="24"/>
        </w:rPr>
        <w:t>APU</w:t>
      </w:r>
      <w:r w:rsidR="00423702" w:rsidRPr="00541A4C">
        <w:rPr>
          <w:rFonts w:ascii="Times New Roman" w:hAnsi="Times New Roman" w:cs="Times New Roman"/>
          <w:sz w:val="24"/>
          <w:szCs w:val="24"/>
        </w:rPr>
        <w:t>.</w:t>
      </w:r>
    </w:p>
    <w:p w14:paraId="2EADC814" w14:textId="33346653" w:rsidR="00502DDD" w:rsidRPr="00541A4C" w:rsidRDefault="00502DDD" w:rsidP="001C2F46">
      <w:pPr>
        <w:pStyle w:val="BodyText"/>
        <w:rPr>
          <w:rFonts w:ascii="Times New Roman" w:hAnsi="Times New Roman" w:cs="Times New Roman"/>
          <w:sz w:val="24"/>
          <w:szCs w:val="24"/>
        </w:rPr>
      </w:pPr>
    </w:p>
    <w:p w14:paraId="0DC6FC36" w14:textId="475CD744" w:rsidR="001C2F46" w:rsidRPr="00541A4C" w:rsidRDefault="00502DDD" w:rsidP="001C2F46">
      <w:pPr>
        <w:pStyle w:val="BodyText"/>
        <w:rPr>
          <w:rFonts w:ascii="Times New Roman" w:hAnsi="Times New Roman" w:cs="Times New Roman"/>
          <w:sz w:val="24"/>
          <w:szCs w:val="24"/>
        </w:rPr>
      </w:pPr>
      <w:r w:rsidRPr="00541A4C">
        <w:rPr>
          <w:rFonts w:ascii="Times New Roman" w:hAnsi="Times New Roman" w:cs="Times New Roman"/>
          <w:sz w:val="24"/>
          <w:szCs w:val="24"/>
        </w:rPr>
        <w:t>For BCC, 2022-2023 marks a critically important year as the college is in the process of revising its Educational Master Plan (EMP) for the next 5 years (2024-2028).  This college EMP process will inform the District with their planning for their Strategic Plan.  This</w:t>
      </w:r>
      <w:r w:rsidR="00F410FF" w:rsidRPr="00541A4C">
        <w:rPr>
          <w:rFonts w:ascii="Times New Roman" w:hAnsi="Times New Roman" w:cs="Times New Roman"/>
          <w:sz w:val="24"/>
          <w:szCs w:val="24"/>
        </w:rPr>
        <w:t xml:space="preserve"> year’s</w:t>
      </w:r>
      <w:r w:rsidRPr="00541A4C">
        <w:rPr>
          <w:rFonts w:ascii="Times New Roman" w:hAnsi="Times New Roman" w:cs="Times New Roman"/>
          <w:sz w:val="24"/>
          <w:szCs w:val="24"/>
        </w:rPr>
        <w:t xml:space="preserve"> APU will take </w:t>
      </w:r>
      <w:r w:rsidR="00115D65" w:rsidRPr="00541A4C">
        <w:rPr>
          <w:rFonts w:ascii="Times New Roman" w:hAnsi="Times New Roman" w:cs="Times New Roman"/>
          <w:sz w:val="24"/>
          <w:szCs w:val="24"/>
        </w:rPr>
        <w:t xml:space="preserve">an </w:t>
      </w:r>
      <w:r w:rsidR="00F410FF" w:rsidRPr="00541A4C">
        <w:rPr>
          <w:rFonts w:ascii="Times New Roman" w:hAnsi="Times New Roman" w:cs="Times New Roman"/>
          <w:sz w:val="24"/>
          <w:szCs w:val="24"/>
        </w:rPr>
        <w:t xml:space="preserve">especially </w:t>
      </w:r>
      <w:r w:rsidRPr="00541A4C">
        <w:rPr>
          <w:rFonts w:ascii="Times New Roman" w:hAnsi="Times New Roman" w:cs="Times New Roman"/>
          <w:sz w:val="24"/>
          <w:szCs w:val="24"/>
        </w:rPr>
        <w:t>important role for the EMP process</w:t>
      </w:r>
      <w:r w:rsidR="00FE5757" w:rsidRPr="00541A4C">
        <w:rPr>
          <w:rFonts w:ascii="Times New Roman" w:hAnsi="Times New Roman" w:cs="Times New Roman"/>
          <w:sz w:val="24"/>
          <w:szCs w:val="24"/>
        </w:rPr>
        <w:t xml:space="preserve">, carrying your analysis, planning and strategies to support our </w:t>
      </w:r>
      <w:proofErr w:type="gramStart"/>
      <w:r w:rsidR="00FE5757" w:rsidRPr="00541A4C">
        <w:rPr>
          <w:rFonts w:ascii="Times New Roman" w:hAnsi="Times New Roman" w:cs="Times New Roman"/>
          <w:sz w:val="24"/>
          <w:szCs w:val="24"/>
        </w:rPr>
        <w:t>students</w:t>
      </w:r>
      <w:proofErr w:type="gramEnd"/>
      <w:r w:rsidR="00FE5757" w:rsidRPr="00541A4C">
        <w:rPr>
          <w:rFonts w:ascii="Times New Roman" w:hAnsi="Times New Roman" w:cs="Times New Roman"/>
          <w:sz w:val="24"/>
          <w:szCs w:val="24"/>
        </w:rPr>
        <w:t xml:space="preserve"> success, retention, and equitable completion.</w:t>
      </w:r>
    </w:p>
    <w:p w14:paraId="283CF706" w14:textId="77777777" w:rsidR="00115D65" w:rsidRPr="00541A4C" w:rsidRDefault="00115D65" w:rsidP="001C2F46">
      <w:pPr>
        <w:pStyle w:val="BodyText"/>
        <w:rPr>
          <w:rFonts w:ascii="Times New Roman" w:hAnsi="Times New Roman" w:cs="Times New Roman"/>
          <w:sz w:val="24"/>
          <w:szCs w:val="24"/>
        </w:rPr>
      </w:pPr>
    </w:p>
    <w:p w14:paraId="2177F6EE" w14:textId="6BE13125" w:rsidR="00FE5757" w:rsidRPr="00541A4C" w:rsidRDefault="00115D65" w:rsidP="00763C6D">
      <w:pPr>
        <w:pStyle w:val="BodyText"/>
        <w:rPr>
          <w:rFonts w:ascii="Times New Roman" w:eastAsia="Times New Roman" w:hAnsi="Times New Roman" w:cs="Times New Roman"/>
          <w:sz w:val="24"/>
          <w:szCs w:val="24"/>
        </w:rPr>
      </w:pPr>
      <w:r w:rsidRPr="00541A4C">
        <w:rPr>
          <w:rFonts w:ascii="Times New Roman" w:hAnsi="Times New Roman" w:cs="Times New Roman"/>
          <w:sz w:val="24"/>
          <w:szCs w:val="24"/>
        </w:rPr>
        <w:t xml:space="preserve">The </w:t>
      </w:r>
      <w:r w:rsidR="00FE5757" w:rsidRPr="00541A4C">
        <w:rPr>
          <w:rFonts w:ascii="Times New Roman" w:hAnsi="Times New Roman" w:cs="Times New Roman"/>
          <w:sz w:val="24"/>
          <w:szCs w:val="24"/>
        </w:rPr>
        <w:t xml:space="preserve">APU </w:t>
      </w:r>
      <w:r w:rsidR="001C2F46" w:rsidRPr="00541A4C">
        <w:rPr>
          <w:rFonts w:ascii="Times New Roman" w:hAnsi="Times New Roman" w:cs="Times New Roman"/>
          <w:sz w:val="24"/>
          <w:szCs w:val="24"/>
        </w:rPr>
        <w:t xml:space="preserve">is intended to primarily focus upon planning for the subsequent </w:t>
      </w:r>
      <w:r w:rsidR="00FE5757" w:rsidRPr="00541A4C">
        <w:rPr>
          <w:rFonts w:ascii="Times New Roman" w:hAnsi="Times New Roman" w:cs="Times New Roman"/>
          <w:sz w:val="24"/>
          <w:szCs w:val="24"/>
        </w:rPr>
        <w:t>year</w:t>
      </w:r>
      <w:r w:rsidR="001C2F46" w:rsidRPr="00541A4C">
        <w:rPr>
          <w:rFonts w:ascii="Times New Roman" w:hAnsi="Times New Roman" w:cs="Times New Roman"/>
          <w:sz w:val="24"/>
          <w:szCs w:val="24"/>
        </w:rPr>
        <w:t xml:space="preserve"> </w:t>
      </w:r>
      <w:r w:rsidR="00FE5757" w:rsidRPr="00541A4C">
        <w:rPr>
          <w:rFonts w:ascii="Times New Roman" w:hAnsi="Times New Roman" w:cs="Times New Roman"/>
          <w:sz w:val="24"/>
          <w:szCs w:val="24"/>
        </w:rPr>
        <w:t xml:space="preserve">based on the institutional priorities.  While developing the College’s EMP for the next 5 years, the college and the district focused </w:t>
      </w:r>
      <w:r w:rsidR="00F410FF" w:rsidRPr="00541A4C">
        <w:rPr>
          <w:rFonts w:ascii="Times New Roman" w:hAnsi="Times New Roman" w:cs="Times New Roman"/>
          <w:sz w:val="24"/>
          <w:szCs w:val="24"/>
        </w:rPr>
        <w:t xml:space="preserve">on the </w:t>
      </w:r>
      <w:hyperlink r:id="rId10" w:history="1">
        <w:r w:rsidR="00F410FF" w:rsidRPr="00541A4C">
          <w:rPr>
            <w:rStyle w:val="Hyperlink"/>
            <w:rFonts w:ascii="Times New Roman" w:hAnsi="Times New Roman" w:cs="Times New Roman"/>
            <w:sz w:val="24"/>
            <w:szCs w:val="24"/>
          </w:rPr>
          <w:t>Vision for Success</w:t>
        </w:r>
      </w:hyperlink>
      <w:r w:rsidR="00F410FF" w:rsidRPr="00541A4C">
        <w:rPr>
          <w:rFonts w:ascii="Times New Roman" w:hAnsi="Times New Roman" w:cs="Times New Roman"/>
          <w:sz w:val="24"/>
          <w:szCs w:val="24"/>
        </w:rPr>
        <w:t xml:space="preserve"> identified by the California Community College Chancellor’s office as well as </w:t>
      </w:r>
      <w:hyperlink r:id="rId11" w:history="1">
        <w:r w:rsidR="00F410FF" w:rsidRPr="00541A4C">
          <w:rPr>
            <w:rStyle w:val="Hyperlink"/>
            <w:rFonts w:ascii="Times New Roman" w:hAnsi="Times New Roman" w:cs="Times New Roman"/>
            <w:sz w:val="24"/>
            <w:szCs w:val="24"/>
          </w:rPr>
          <w:t>Student Centered Funding Formula (SCFF)</w:t>
        </w:r>
      </w:hyperlink>
      <w:r w:rsidR="00F410FF" w:rsidRPr="00541A4C">
        <w:rPr>
          <w:rFonts w:ascii="Times New Roman" w:hAnsi="Times New Roman" w:cs="Times New Roman"/>
          <w:sz w:val="24"/>
          <w:szCs w:val="24"/>
        </w:rPr>
        <w:t xml:space="preserve"> that clearly delineate the </w:t>
      </w:r>
      <w:r w:rsidR="003725C6" w:rsidRPr="00541A4C">
        <w:rPr>
          <w:rFonts w:ascii="Times New Roman" w:hAnsi="Times New Roman" w:cs="Times New Roman"/>
          <w:sz w:val="24"/>
          <w:szCs w:val="24"/>
        </w:rPr>
        <w:t>categorized outcomes that</w:t>
      </w:r>
      <w:r w:rsidR="00F410FF" w:rsidRPr="00541A4C">
        <w:rPr>
          <w:rFonts w:ascii="Times New Roman" w:hAnsi="Times New Roman" w:cs="Times New Roman"/>
          <w:sz w:val="24"/>
          <w:szCs w:val="24"/>
        </w:rPr>
        <w:t xml:space="preserve"> the Colleges should be </w:t>
      </w:r>
      <w:r w:rsidR="003725C6" w:rsidRPr="00541A4C">
        <w:rPr>
          <w:rFonts w:ascii="Times New Roman" w:hAnsi="Times New Roman" w:cs="Times New Roman"/>
          <w:sz w:val="24"/>
          <w:szCs w:val="24"/>
        </w:rPr>
        <w:t>focusing.</w:t>
      </w:r>
      <w:r w:rsidR="003F6F54" w:rsidRPr="00541A4C">
        <w:rPr>
          <w:rFonts w:ascii="Times New Roman" w:hAnsi="Times New Roman" w:cs="Times New Roman"/>
          <w:sz w:val="24"/>
          <w:szCs w:val="24"/>
        </w:rPr>
        <w:t xml:space="preserve"> Please use these </w:t>
      </w:r>
      <w:r w:rsidRPr="00541A4C">
        <w:rPr>
          <w:rFonts w:ascii="Times New Roman" w:hAnsi="Times New Roman" w:cs="Times New Roman"/>
          <w:sz w:val="24"/>
          <w:szCs w:val="24"/>
        </w:rPr>
        <w:t xml:space="preserve">foci </w:t>
      </w:r>
      <w:r w:rsidR="005D4A63" w:rsidRPr="00541A4C">
        <w:rPr>
          <w:rFonts w:ascii="Times New Roman" w:hAnsi="Times New Roman" w:cs="Times New Roman"/>
          <w:sz w:val="24"/>
          <w:szCs w:val="24"/>
        </w:rPr>
        <w:t>as your reference to prioritize your department and other goals.</w:t>
      </w:r>
    </w:p>
    <w:p w14:paraId="32BBFF86" w14:textId="77777777" w:rsidR="00FE5757" w:rsidRPr="00541A4C" w:rsidRDefault="00FE5757" w:rsidP="00763C6D">
      <w:pPr>
        <w:pStyle w:val="BodyText"/>
        <w:rPr>
          <w:rFonts w:ascii="Times New Roman" w:hAnsi="Times New Roman" w:cs="Times New Roman"/>
          <w:sz w:val="24"/>
          <w:szCs w:val="24"/>
        </w:rPr>
      </w:pPr>
    </w:p>
    <w:p w14:paraId="525915F6" w14:textId="6B032977" w:rsidR="001C64A6" w:rsidRPr="00541A4C" w:rsidRDefault="001C64A6" w:rsidP="00763C6D">
      <w:pPr>
        <w:pStyle w:val="BodyText"/>
        <w:rPr>
          <w:rFonts w:ascii="Times New Roman" w:hAnsi="Times New Roman" w:cs="Times New Roman"/>
          <w:b/>
          <w:bCs/>
          <w:sz w:val="24"/>
          <w:szCs w:val="24"/>
        </w:rPr>
      </w:pPr>
      <w:r w:rsidRPr="00541A4C">
        <w:rPr>
          <w:rFonts w:ascii="Times New Roman" w:hAnsi="Times New Roman" w:cs="Times New Roman"/>
          <w:b/>
          <w:bCs/>
          <w:sz w:val="24"/>
          <w:szCs w:val="24"/>
        </w:rPr>
        <w:t>RESOURCE REQUEST</w:t>
      </w:r>
    </w:p>
    <w:p w14:paraId="29A30DF9" w14:textId="7CE0F30F" w:rsidR="003F6F54" w:rsidRPr="00541A4C" w:rsidRDefault="005D4A63" w:rsidP="00763C6D">
      <w:pPr>
        <w:pStyle w:val="BodyText"/>
        <w:rPr>
          <w:rFonts w:ascii="Times New Roman" w:hAnsi="Times New Roman" w:cs="Times New Roman"/>
          <w:sz w:val="24"/>
          <w:szCs w:val="24"/>
        </w:rPr>
      </w:pPr>
      <w:r w:rsidRPr="00541A4C">
        <w:rPr>
          <w:rFonts w:ascii="Times New Roman" w:hAnsi="Times New Roman" w:cs="Times New Roman"/>
          <w:sz w:val="24"/>
          <w:szCs w:val="24"/>
        </w:rPr>
        <w:t>In this process of making continuous quality improvement, there is an opportunity for each program, student services, and department to request resources that support achieving the stated goals.</w:t>
      </w:r>
      <w:r w:rsidR="00115D65" w:rsidRPr="00541A4C">
        <w:rPr>
          <w:rFonts w:ascii="Times New Roman" w:hAnsi="Times New Roman" w:cs="Times New Roman"/>
          <w:sz w:val="24"/>
          <w:szCs w:val="24"/>
        </w:rPr>
        <w:t xml:space="preserve">  </w:t>
      </w:r>
      <w:r w:rsidR="00FE5757" w:rsidRPr="00541A4C">
        <w:rPr>
          <w:rFonts w:ascii="Times New Roman" w:hAnsi="Times New Roman" w:cs="Times New Roman"/>
          <w:sz w:val="24"/>
          <w:szCs w:val="24"/>
        </w:rPr>
        <w:t xml:space="preserve">The APU </w:t>
      </w:r>
      <w:r w:rsidR="001C2F46" w:rsidRPr="00541A4C">
        <w:rPr>
          <w:rFonts w:ascii="Times New Roman" w:hAnsi="Times New Roman" w:cs="Times New Roman"/>
          <w:sz w:val="24"/>
          <w:szCs w:val="24"/>
        </w:rPr>
        <w:t xml:space="preserve">process directly leads to the institutional resource allocation process and budget planning </w:t>
      </w:r>
      <w:r w:rsidR="00FE5757" w:rsidRPr="00541A4C">
        <w:rPr>
          <w:rFonts w:ascii="Times New Roman" w:hAnsi="Times New Roman" w:cs="Times New Roman"/>
          <w:sz w:val="24"/>
          <w:szCs w:val="24"/>
        </w:rPr>
        <w:t xml:space="preserve">facilitated by the Institutional Planning and Allocation of Resources </w:t>
      </w:r>
      <w:r w:rsidR="00115D65" w:rsidRPr="00541A4C">
        <w:rPr>
          <w:rFonts w:ascii="Times New Roman" w:hAnsi="Times New Roman" w:cs="Times New Roman"/>
          <w:sz w:val="24"/>
          <w:szCs w:val="24"/>
        </w:rPr>
        <w:t>(</w:t>
      </w:r>
      <w:r w:rsidR="00FE5757" w:rsidRPr="00541A4C">
        <w:rPr>
          <w:rFonts w:ascii="Times New Roman" w:hAnsi="Times New Roman" w:cs="Times New Roman"/>
          <w:sz w:val="24"/>
          <w:szCs w:val="24"/>
        </w:rPr>
        <w:t>IPAR</w:t>
      </w:r>
      <w:r w:rsidR="00115D65" w:rsidRPr="00541A4C">
        <w:rPr>
          <w:rFonts w:ascii="Times New Roman" w:hAnsi="Times New Roman" w:cs="Times New Roman"/>
          <w:sz w:val="24"/>
          <w:szCs w:val="24"/>
        </w:rPr>
        <w:t>)</w:t>
      </w:r>
      <w:r w:rsidR="00FE5757" w:rsidRPr="00541A4C">
        <w:rPr>
          <w:rFonts w:ascii="Times New Roman" w:hAnsi="Times New Roman" w:cs="Times New Roman"/>
          <w:sz w:val="24"/>
          <w:szCs w:val="24"/>
        </w:rPr>
        <w:t xml:space="preserve"> </w:t>
      </w:r>
      <w:r w:rsidR="00115D65" w:rsidRPr="00541A4C">
        <w:rPr>
          <w:rFonts w:ascii="Times New Roman" w:hAnsi="Times New Roman" w:cs="Times New Roman"/>
          <w:sz w:val="24"/>
          <w:szCs w:val="24"/>
        </w:rPr>
        <w:t>Committee</w:t>
      </w:r>
      <w:r w:rsidR="00FE5757" w:rsidRPr="00541A4C">
        <w:rPr>
          <w:rFonts w:ascii="Times New Roman" w:hAnsi="Times New Roman" w:cs="Times New Roman"/>
          <w:sz w:val="24"/>
          <w:szCs w:val="24"/>
        </w:rPr>
        <w:t xml:space="preserve"> </w:t>
      </w:r>
      <w:r w:rsidR="00115D65" w:rsidRPr="00541A4C">
        <w:rPr>
          <w:rFonts w:ascii="Times New Roman" w:hAnsi="Times New Roman" w:cs="Times New Roman"/>
          <w:sz w:val="24"/>
          <w:szCs w:val="24"/>
        </w:rPr>
        <w:t xml:space="preserve">for </w:t>
      </w:r>
      <w:r w:rsidR="001C2F46" w:rsidRPr="00541A4C">
        <w:rPr>
          <w:rFonts w:ascii="Times New Roman" w:hAnsi="Times New Roman" w:cs="Times New Roman"/>
          <w:sz w:val="24"/>
          <w:szCs w:val="24"/>
        </w:rPr>
        <w:t>the following academic year (</w:t>
      </w:r>
      <w:r w:rsidR="00F051BE" w:rsidRPr="00541A4C">
        <w:rPr>
          <w:rFonts w:ascii="Times New Roman" w:hAnsi="Times New Roman" w:cs="Times New Roman"/>
          <w:sz w:val="24"/>
          <w:szCs w:val="24"/>
        </w:rPr>
        <w:t>20</w:t>
      </w:r>
      <w:r w:rsidR="00423702" w:rsidRPr="00541A4C">
        <w:rPr>
          <w:rFonts w:ascii="Times New Roman" w:hAnsi="Times New Roman" w:cs="Times New Roman"/>
          <w:sz w:val="24"/>
          <w:szCs w:val="24"/>
        </w:rPr>
        <w:t>2</w:t>
      </w:r>
      <w:r w:rsidR="003F6F54" w:rsidRPr="00541A4C">
        <w:rPr>
          <w:rFonts w:ascii="Times New Roman" w:hAnsi="Times New Roman" w:cs="Times New Roman"/>
          <w:sz w:val="24"/>
          <w:szCs w:val="24"/>
        </w:rPr>
        <w:t>3</w:t>
      </w:r>
      <w:r w:rsidR="00423702" w:rsidRPr="00541A4C">
        <w:rPr>
          <w:rFonts w:ascii="Times New Roman" w:hAnsi="Times New Roman" w:cs="Times New Roman"/>
          <w:sz w:val="24"/>
          <w:szCs w:val="24"/>
        </w:rPr>
        <w:t>-2</w:t>
      </w:r>
      <w:r w:rsidR="003F6F54" w:rsidRPr="00541A4C">
        <w:rPr>
          <w:rFonts w:ascii="Times New Roman" w:hAnsi="Times New Roman" w:cs="Times New Roman"/>
          <w:sz w:val="24"/>
          <w:szCs w:val="24"/>
        </w:rPr>
        <w:t>4</w:t>
      </w:r>
      <w:r w:rsidR="00E87A17" w:rsidRPr="00541A4C">
        <w:rPr>
          <w:rFonts w:ascii="Times New Roman" w:hAnsi="Times New Roman" w:cs="Times New Roman"/>
          <w:sz w:val="24"/>
          <w:szCs w:val="24"/>
        </w:rPr>
        <w:t>)</w:t>
      </w:r>
      <w:r w:rsidR="001C2F46" w:rsidRPr="00541A4C">
        <w:rPr>
          <w:rFonts w:ascii="Times New Roman" w:hAnsi="Times New Roman" w:cs="Times New Roman"/>
          <w:sz w:val="24"/>
          <w:szCs w:val="24"/>
        </w:rPr>
        <w:t xml:space="preserve">.  </w:t>
      </w:r>
      <w:r w:rsidR="00115D65" w:rsidRPr="00541A4C">
        <w:rPr>
          <w:rFonts w:ascii="Times New Roman" w:hAnsi="Times New Roman" w:cs="Times New Roman"/>
          <w:sz w:val="24"/>
          <w:szCs w:val="24"/>
        </w:rPr>
        <w:t>The p</w:t>
      </w:r>
      <w:r w:rsidR="003F6F54" w:rsidRPr="00541A4C">
        <w:rPr>
          <w:rFonts w:ascii="Times New Roman" w:hAnsi="Times New Roman" w:cs="Times New Roman"/>
          <w:sz w:val="24"/>
          <w:szCs w:val="24"/>
        </w:rPr>
        <w:t xml:space="preserve">rocess for this can be found </w:t>
      </w:r>
      <w:r w:rsidR="003F6F54" w:rsidRPr="00541A4C">
        <w:rPr>
          <w:rFonts w:ascii="Times New Roman" w:hAnsi="Times New Roman" w:cs="Times New Roman"/>
          <w:color w:val="000000" w:themeColor="text1"/>
          <w:sz w:val="24"/>
          <w:szCs w:val="24"/>
        </w:rPr>
        <w:t>here (</w:t>
      </w:r>
      <w:hyperlink r:id="rId12" w:history="1">
        <w:r w:rsidR="00E179CB" w:rsidRPr="00541A4C">
          <w:rPr>
            <w:rStyle w:val="Hyperlink"/>
            <w:rFonts w:ascii="Times New Roman" w:hAnsi="Times New Roman" w:cs="Times New Roman"/>
            <w:color w:val="000000" w:themeColor="text1"/>
            <w:sz w:val="24"/>
            <w:szCs w:val="24"/>
          </w:rPr>
          <w:t>2022-23 APU Timeline</w:t>
        </w:r>
      </w:hyperlink>
      <w:r w:rsidR="003F6F54" w:rsidRPr="00541A4C">
        <w:rPr>
          <w:rFonts w:ascii="Times New Roman" w:hAnsi="Times New Roman" w:cs="Times New Roman"/>
          <w:color w:val="000000" w:themeColor="text1"/>
          <w:sz w:val="24"/>
          <w:szCs w:val="24"/>
        </w:rPr>
        <w:t>)</w:t>
      </w:r>
      <w:r w:rsidR="00115D65" w:rsidRPr="00541A4C">
        <w:rPr>
          <w:rFonts w:ascii="Times New Roman" w:hAnsi="Times New Roman" w:cs="Times New Roman"/>
          <w:color w:val="000000" w:themeColor="text1"/>
          <w:sz w:val="24"/>
          <w:szCs w:val="24"/>
        </w:rPr>
        <w:t>.</w:t>
      </w:r>
      <w:r w:rsidR="003F6F54" w:rsidRPr="00541A4C">
        <w:rPr>
          <w:rFonts w:ascii="Times New Roman" w:hAnsi="Times New Roman" w:cs="Times New Roman"/>
          <w:color w:val="000000" w:themeColor="text1"/>
          <w:sz w:val="24"/>
          <w:szCs w:val="24"/>
        </w:rPr>
        <w:t xml:space="preserve">  </w:t>
      </w:r>
      <w:r w:rsidRPr="00541A4C">
        <w:rPr>
          <w:rFonts w:ascii="Times New Roman" w:hAnsi="Times New Roman" w:cs="Times New Roman"/>
          <w:sz w:val="24"/>
          <w:szCs w:val="24"/>
        </w:rPr>
        <w:t>This is an opportunity for each department to request resources that will support your department goals and set outcomes.</w:t>
      </w:r>
    </w:p>
    <w:p w14:paraId="3642AF18" w14:textId="33170609" w:rsidR="00DE2251" w:rsidRPr="00541A4C" w:rsidRDefault="00DE2251" w:rsidP="00763C6D">
      <w:pPr>
        <w:pStyle w:val="BodyText"/>
        <w:rPr>
          <w:rFonts w:ascii="Times New Roman" w:hAnsi="Times New Roman" w:cs="Times New Roman"/>
          <w:sz w:val="24"/>
          <w:szCs w:val="24"/>
        </w:rPr>
      </w:pPr>
    </w:p>
    <w:p w14:paraId="656015F5" w14:textId="77777777" w:rsidR="001C64A6" w:rsidRPr="00541A4C" w:rsidRDefault="001C64A6" w:rsidP="00763C6D">
      <w:pPr>
        <w:pStyle w:val="BodyText"/>
        <w:rPr>
          <w:rFonts w:ascii="Times New Roman" w:hAnsi="Times New Roman" w:cs="Times New Roman"/>
          <w:b/>
          <w:bCs/>
          <w:sz w:val="24"/>
          <w:szCs w:val="24"/>
        </w:rPr>
      </w:pPr>
      <w:r w:rsidRPr="00541A4C">
        <w:rPr>
          <w:rFonts w:ascii="Times New Roman" w:hAnsi="Times New Roman" w:cs="Times New Roman"/>
          <w:b/>
          <w:bCs/>
          <w:sz w:val="24"/>
          <w:szCs w:val="24"/>
        </w:rPr>
        <w:t>TECHNOLOGY REQUEST</w:t>
      </w:r>
    </w:p>
    <w:p w14:paraId="55BE9772" w14:textId="7B902ECB" w:rsidR="008879A8" w:rsidRPr="00541A4C" w:rsidRDefault="008879A8" w:rsidP="00763C6D">
      <w:pPr>
        <w:pStyle w:val="BodyText"/>
        <w:rPr>
          <w:rFonts w:ascii="Times New Roman" w:hAnsi="Times New Roman" w:cs="Times New Roman"/>
          <w:sz w:val="24"/>
          <w:szCs w:val="24"/>
        </w:rPr>
      </w:pPr>
      <w:r w:rsidRPr="00541A4C">
        <w:rPr>
          <w:rFonts w:ascii="Times New Roman" w:hAnsi="Times New Roman" w:cs="Times New Roman"/>
          <w:sz w:val="24"/>
          <w:szCs w:val="24"/>
        </w:rPr>
        <w:t>Finally, for the resource request section, please connect with your Deans, managers, and supervisors regarding your technology</w:t>
      </w:r>
      <w:r w:rsidR="38A523DD" w:rsidRPr="00541A4C">
        <w:rPr>
          <w:rFonts w:ascii="Times New Roman" w:hAnsi="Times New Roman" w:cs="Times New Roman"/>
          <w:sz w:val="24"/>
          <w:szCs w:val="24"/>
        </w:rPr>
        <w:t xml:space="preserve"> </w:t>
      </w:r>
      <w:r w:rsidRPr="00541A4C">
        <w:rPr>
          <w:rFonts w:ascii="Times New Roman" w:hAnsi="Times New Roman" w:cs="Times New Roman"/>
          <w:sz w:val="24"/>
          <w:szCs w:val="24"/>
        </w:rPr>
        <w:t>needs so that you can be informed about the equipment that is addressed in the BCC Technology Refresh Plan.  If your requests are covered in the Refresh Plan, you do not need to request them in this APU.</w:t>
      </w:r>
    </w:p>
    <w:p w14:paraId="3A68032D" w14:textId="77777777" w:rsidR="00F051BE" w:rsidRPr="00541A4C" w:rsidRDefault="00F051BE" w:rsidP="00763C6D">
      <w:pPr>
        <w:pStyle w:val="BodyText"/>
        <w:rPr>
          <w:rFonts w:ascii="Times New Roman" w:hAnsi="Times New Roman" w:cs="Times New Roman"/>
          <w:sz w:val="24"/>
          <w:szCs w:val="24"/>
        </w:rPr>
      </w:pPr>
    </w:p>
    <w:p w14:paraId="11075748" w14:textId="5CD98B5F" w:rsidR="00763C6D" w:rsidRPr="00541A4C" w:rsidRDefault="00763C6D" w:rsidP="00763C6D">
      <w:pPr>
        <w:pStyle w:val="BodyText"/>
        <w:rPr>
          <w:rFonts w:ascii="Times New Roman" w:hAnsi="Times New Roman" w:cs="Times New Roman"/>
          <w:sz w:val="24"/>
          <w:szCs w:val="24"/>
        </w:rPr>
      </w:pPr>
      <w:r w:rsidRPr="00541A4C">
        <w:rPr>
          <w:rFonts w:ascii="Times New Roman" w:hAnsi="Times New Roman" w:cs="Times New Roman"/>
          <w:sz w:val="24"/>
          <w:szCs w:val="24"/>
        </w:rPr>
        <w:lastRenderedPageBreak/>
        <w:t xml:space="preserve">If you have questions regarding other material in the </w:t>
      </w:r>
      <w:r w:rsidR="00F51337" w:rsidRPr="00541A4C">
        <w:rPr>
          <w:rFonts w:ascii="Times New Roman" w:hAnsi="Times New Roman" w:cs="Times New Roman"/>
          <w:sz w:val="24"/>
          <w:szCs w:val="24"/>
        </w:rPr>
        <w:t>Annual Program Update</w:t>
      </w:r>
      <w:r w:rsidRPr="00541A4C">
        <w:rPr>
          <w:rFonts w:ascii="Times New Roman" w:hAnsi="Times New Roman" w:cs="Times New Roman"/>
          <w:sz w:val="24"/>
          <w:szCs w:val="24"/>
        </w:rPr>
        <w:t>, please contact your Dean or Manager.</w:t>
      </w:r>
      <w:r w:rsidR="00423702" w:rsidRPr="00541A4C">
        <w:rPr>
          <w:rFonts w:ascii="Times New Roman" w:hAnsi="Times New Roman" w:cs="Times New Roman"/>
          <w:sz w:val="24"/>
          <w:szCs w:val="24"/>
        </w:rPr>
        <w:t xml:space="preserve">  If you have questions regarding data, please contact Dr. Phoumy Sayavong, Senior Researcher and Planning Analyst (psayavong@peralta.edu).</w:t>
      </w:r>
    </w:p>
    <w:p w14:paraId="61AC15DC" w14:textId="77777777" w:rsidR="00763C6D" w:rsidRPr="00541A4C" w:rsidRDefault="00763C6D" w:rsidP="00763C6D">
      <w:pPr>
        <w:pStyle w:val="BodyText"/>
        <w:rPr>
          <w:rFonts w:ascii="Times New Roman" w:hAnsi="Times New Roman" w:cs="Times New Roman"/>
          <w:sz w:val="24"/>
          <w:szCs w:val="24"/>
        </w:rPr>
      </w:pPr>
    </w:p>
    <w:p w14:paraId="2D0AA22D" w14:textId="20C4ABFB" w:rsidR="00E87A17" w:rsidRPr="00541A4C" w:rsidRDefault="00E87A17" w:rsidP="00E87A17">
      <w:pPr>
        <w:pStyle w:val="BodyText"/>
        <w:rPr>
          <w:rFonts w:ascii="Times New Roman" w:hAnsi="Times New Roman" w:cs="Times New Roman"/>
          <w:b/>
          <w:bCs/>
          <w:sz w:val="24"/>
          <w:szCs w:val="24"/>
        </w:rPr>
      </w:pPr>
      <w:r w:rsidRPr="00541A4C">
        <w:rPr>
          <w:rFonts w:ascii="Times New Roman" w:hAnsi="Times New Roman" w:cs="Times New Roman"/>
          <w:b/>
          <w:bCs/>
          <w:sz w:val="24"/>
          <w:szCs w:val="24"/>
        </w:rPr>
        <w:t xml:space="preserve">Please email the completed </w:t>
      </w:r>
      <w:r w:rsidR="00115D65" w:rsidRPr="00541A4C">
        <w:rPr>
          <w:rFonts w:ascii="Times New Roman" w:hAnsi="Times New Roman" w:cs="Times New Roman"/>
          <w:b/>
          <w:bCs/>
          <w:sz w:val="24"/>
          <w:szCs w:val="24"/>
        </w:rPr>
        <w:t xml:space="preserve">Annual </w:t>
      </w:r>
      <w:r w:rsidRPr="00541A4C">
        <w:rPr>
          <w:rFonts w:ascii="Times New Roman" w:hAnsi="Times New Roman" w:cs="Times New Roman"/>
          <w:b/>
          <w:bCs/>
          <w:sz w:val="24"/>
          <w:szCs w:val="24"/>
        </w:rPr>
        <w:t xml:space="preserve">Program </w:t>
      </w:r>
      <w:r w:rsidR="00115D65" w:rsidRPr="00541A4C">
        <w:rPr>
          <w:rFonts w:ascii="Times New Roman" w:hAnsi="Times New Roman" w:cs="Times New Roman"/>
          <w:b/>
          <w:bCs/>
          <w:sz w:val="24"/>
          <w:szCs w:val="24"/>
        </w:rPr>
        <w:t xml:space="preserve">Update </w:t>
      </w:r>
      <w:r w:rsidRPr="00541A4C">
        <w:rPr>
          <w:rFonts w:ascii="Times New Roman" w:hAnsi="Times New Roman" w:cs="Times New Roman"/>
          <w:b/>
          <w:bCs/>
          <w:sz w:val="24"/>
          <w:szCs w:val="24"/>
        </w:rPr>
        <w:t xml:space="preserve">to your Dean by </w:t>
      </w:r>
      <w:r w:rsidRPr="00541A4C">
        <w:rPr>
          <w:rFonts w:ascii="Times New Roman" w:eastAsia="Avenir" w:hAnsi="Times New Roman" w:cs="Times New Roman"/>
          <w:b/>
          <w:bCs/>
          <w:color w:val="000000" w:themeColor="text1"/>
          <w:sz w:val="24"/>
          <w:szCs w:val="24"/>
        </w:rPr>
        <w:t>November 30,</w:t>
      </w:r>
      <w:r w:rsidRPr="00541A4C">
        <w:rPr>
          <w:rFonts w:ascii="Times New Roman" w:hAnsi="Times New Roman" w:cs="Times New Roman"/>
          <w:b/>
          <w:bCs/>
          <w:color w:val="000000" w:themeColor="text1"/>
          <w:sz w:val="24"/>
          <w:szCs w:val="24"/>
        </w:rPr>
        <w:t xml:space="preserve"> </w:t>
      </w:r>
      <w:r w:rsidR="003E7EDF" w:rsidRPr="00541A4C">
        <w:rPr>
          <w:rFonts w:ascii="Times New Roman" w:hAnsi="Times New Roman" w:cs="Times New Roman"/>
          <w:b/>
          <w:bCs/>
          <w:color w:val="000000" w:themeColor="text1"/>
          <w:sz w:val="24"/>
          <w:szCs w:val="24"/>
        </w:rPr>
        <w:t>2022</w:t>
      </w:r>
      <w:r w:rsidRPr="00541A4C">
        <w:rPr>
          <w:rFonts w:ascii="Times New Roman" w:hAnsi="Times New Roman" w:cs="Times New Roman"/>
          <w:b/>
          <w:bCs/>
          <w:sz w:val="24"/>
          <w:szCs w:val="24"/>
        </w:rPr>
        <w:t>.</w:t>
      </w:r>
    </w:p>
    <w:p w14:paraId="6C7B871B" w14:textId="1AB37EC2" w:rsidR="00CC152D" w:rsidRPr="00541A4C" w:rsidRDefault="00CC152D" w:rsidP="00E35ADB">
      <w:pPr>
        <w:pStyle w:val="BodyText"/>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926"/>
      </w:tblGrid>
      <w:tr w:rsidR="00C634A7" w:rsidRPr="00541A4C" w14:paraId="23779351" w14:textId="77777777" w:rsidTr="00290077">
        <w:tc>
          <w:tcPr>
            <w:tcW w:w="9926" w:type="dxa"/>
            <w:shd w:val="clear" w:color="auto" w:fill="009193"/>
          </w:tcPr>
          <w:p w14:paraId="42AA89DC" w14:textId="73128714" w:rsidR="00C634A7" w:rsidRPr="00541A4C" w:rsidRDefault="00C634A7" w:rsidP="00E156B9">
            <w:pPr>
              <w:rPr>
                <w:b/>
                <w:bCs/>
                <w:color w:val="FFFFFF" w:themeColor="background1"/>
              </w:rPr>
            </w:pPr>
            <w:r w:rsidRPr="00541A4C">
              <w:rPr>
                <w:b/>
                <w:bCs/>
                <w:color w:val="FFFFFF" w:themeColor="background1"/>
              </w:rPr>
              <w:t>C</w:t>
            </w:r>
            <w:r w:rsidR="00CF2027" w:rsidRPr="00541A4C">
              <w:rPr>
                <w:b/>
                <w:bCs/>
                <w:color w:val="FFFFFF" w:themeColor="background1"/>
              </w:rPr>
              <w:t xml:space="preserve">ollege Profile </w:t>
            </w:r>
            <w:r w:rsidRPr="00541A4C">
              <w:rPr>
                <w:b/>
                <w:bCs/>
                <w:color w:val="FFFFFF" w:themeColor="background1"/>
              </w:rPr>
              <w:t xml:space="preserve"> </w:t>
            </w:r>
          </w:p>
        </w:tc>
      </w:tr>
      <w:tr w:rsidR="00C634A7" w:rsidRPr="00541A4C" w14:paraId="72DDDC02" w14:textId="77777777" w:rsidTr="00290077">
        <w:tc>
          <w:tcPr>
            <w:tcW w:w="9926" w:type="dxa"/>
          </w:tcPr>
          <w:p w14:paraId="790DFB27" w14:textId="1F389A70" w:rsidR="00C634A7" w:rsidRPr="00541A4C" w:rsidRDefault="00326C73" w:rsidP="00C634A7">
            <w:hyperlink r:id="rId13" w:history="1">
              <w:r w:rsidR="00C634A7" w:rsidRPr="00541A4C">
                <w:rPr>
                  <w:rStyle w:val="Hyperlink"/>
                </w:rPr>
                <w:t>Click here to view the Berkeley City College Student Demographics Dashboard</w:t>
              </w:r>
            </w:hyperlink>
            <w:r w:rsidR="00C634A7" w:rsidRPr="00541A4C">
              <w:t xml:space="preserve">.  </w:t>
            </w:r>
          </w:p>
          <w:p w14:paraId="3D5B4E76" w14:textId="0FE2B0A3" w:rsidR="00C634A7" w:rsidRPr="00541A4C" w:rsidRDefault="00C634A7" w:rsidP="00C634A7">
            <w:r w:rsidRPr="00541A4C">
              <w:t xml:space="preserve">This </w:t>
            </w:r>
            <w:r w:rsidR="00A45E54" w:rsidRPr="00541A4C">
              <w:t xml:space="preserve">2-page </w:t>
            </w:r>
            <w:r w:rsidRPr="00541A4C">
              <w:t xml:space="preserve">dashboard will provide </w:t>
            </w:r>
            <w:r w:rsidR="00C94A73" w:rsidRPr="00541A4C">
              <w:t>data on the demographics</w:t>
            </w:r>
            <w:r w:rsidRPr="00541A4C">
              <w:t xml:space="preserve"> of our student body from the past two years such as headcount, ethnicity, enrollment status, age group, educational goals, and majors.</w:t>
            </w:r>
            <w:r w:rsidR="00A45E54" w:rsidRPr="00541A4C">
              <w:t xml:space="preserve"> </w:t>
            </w:r>
          </w:p>
        </w:tc>
      </w:tr>
    </w:tbl>
    <w:tbl>
      <w:tblPr>
        <w:tblW w:w="9895" w:type="dxa"/>
        <w:tblLook w:val="04A0" w:firstRow="1" w:lastRow="0" w:firstColumn="1" w:lastColumn="0" w:noHBand="0" w:noVBand="1"/>
      </w:tblPr>
      <w:tblGrid>
        <w:gridCol w:w="3865"/>
        <w:gridCol w:w="1530"/>
        <w:gridCol w:w="1530"/>
        <w:gridCol w:w="1455"/>
        <w:gridCol w:w="1515"/>
      </w:tblGrid>
      <w:tr w:rsidR="003528E5" w:rsidRPr="00541A4C" w14:paraId="28241430" w14:textId="5EBCAE6A" w:rsidTr="00115D65">
        <w:trPr>
          <w:trHeight w:val="320"/>
        </w:trPr>
        <w:tc>
          <w:tcPr>
            <w:tcW w:w="3865"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5782CDBC" w14:textId="77777777" w:rsidR="003528E5" w:rsidRPr="00541A4C" w:rsidRDefault="003528E5" w:rsidP="003528E5">
            <w:pPr>
              <w:rPr>
                <w:b/>
                <w:bCs/>
                <w:color w:val="000000" w:themeColor="text1"/>
              </w:rPr>
            </w:pPr>
            <w:r w:rsidRPr="00541A4C">
              <w:rPr>
                <w:b/>
                <w:bCs/>
                <w:color w:val="000000" w:themeColor="text1"/>
              </w:rPr>
              <w:t>College Outcomes</w:t>
            </w:r>
          </w:p>
        </w:tc>
        <w:tc>
          <w:tcPr>
            <w:tcW w:w="1530" w:type="dxa"/>
            <w:tcBorders>
              <w:top w:val="single" w:sz="4" w:space="0" w:color="auto"/>
              <w:left w:val="nil"/>
              <w:bottom w:val="single" w:sz="4" w:space="0" w:color="auto"/>
              <w:right w:val="nil"/>
            </w:tcBorders>
            <w:shd w:val="clear" w:color="auto" w:fill="A2E4D0"/>
            <w:vAlign w:val="bottom"/>
          </w:tcPr>
          <w:p w14:paraId="3071AE32" w14:textId="45CD25F2" w:rsidR="003528E5" w:rsidRPr="00541A4C" w:rsidRDefault="003528E5" w:rsidP="003528E5">
            <w:pPr>
              <w:jc w:val="center"/>
              <w:rPr>
                <w:b/>
                <w:bCs/>
                <w:color w:val="000000" w:themeColor="text1"/>
              </w:rPr>
            </w:pPr>
            <w:r w:rsidRPr="00541A4C">
              <w:rPr>
                <w:b/>
                <w:bCs/>
                <w:color w:val="000000" w:themeColor="text1"/>
              </w:rPr>
              <w:t>2018-2019</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501B8CC6" w14:textId="13F4B297" w:rsidR="003528E5" w:rsidRPr="00541A4C" w:rsidRDefault="003528E5" w:rsidP="003528E5">
            <w:pPr>
              <w:jc w:val="center"/>
              <w:rPr>
                <w:b/>
                <w:bCs/>
                <w:color w:val="000000" w:themeColor="text1"/>
              </w:rPr>
            </w:pPr>
            <w:r w:rsidRPr="00541A4C">
              <w:rPr>
                <w:b/>
                <w:bCs/>
                <w:color w:val="000000" w:themeColor="text1"/>
              </w:rPr>
              <w:t>2019-20</w:t>
            </w:r>
          </w:p>
        </w:tc>
        <w:tc>
          <w:tcPr>
            <w:tcW w:w="1455" w:type="dxa"/>
            <w:tcBorders>
              <w:top w:val="single" w:sz="4" w:space="0" w:color="auto"/>
              <w:left w:val="nil"/>
              <w:bottom w:val="single" w:sz="4" w:space="0" w:color="auto"/>
              <w:right w:val="single" w:sz="4" w:space="0" w:color="auto"/>
            </w:tcBorders>
            <w:shd w:val="clear" w:color="auto" w:fill="A2E4D0"/>
            <w:noWrap/>
            <w:vAlign w:val="bottom"/>
            <w:hideMark/>
          </w:tcPr>
          <w:p w14:paraId="78747E74" w14:textId="2D74114B" w:rsidR="003528E5" w:rsidRPr="00541A4C" w:rsidRDefault="003528E5" w:rsidP="003528E5">
            <w:pPr>
              <w:jc w:val="center"/>
              <w:rPr>
                <w:b/>
                <w:bCs/>
                <w:color w:val="000000" w:themeColor="text1"/>
              </w:rPr>
            </w:pPr>
            <w:r w:rsidRPr="00541A4C">
              <w:rPr>
                <w:b/>
                <w:bCs/>
                <w:color w:val="000000" w:themeColor="text1"/>
              </w:rPr>
              <w:t>2020-21</w:t>
            </w:r>
          </w:p>
        </w:tc>
        <w:tc>
          <w:tcPr>
            <w:tcW w:w="1515" w:type="dxa"/>
            <w:tcBorders>
              <w:top w:val="single" w:sz="4" w:space="0" w:color="auto"/>
              <w:left w:val="nil"/>
              <w:bottom w:val="single" w:sz="4" w:space="0" w:color="auto"/>
              <w:right w:val="single" w:sz="4" w:space="0" w:color="auto"/>
            </w:tcBorders>
            <w:shd w:val="clear" w:color="auto" w:fill="A2E4D0"/>
            <w:vAlign w:val="bottom"/>
          </w:tcPr>
          <w:p w14:paraId="077BF6D9" w14:textId="55F42BB2" w:rsidR="003528E5" w:rsidRPr="00541A4C" w:rsidRDefault="003528E5" w:rsidP="003528E5">
            <w:pPr>
              <w:jc w:val="center"/>
              <w:rPr>
                <w:b/>
                <w:bCs/>
                <w:color w:val="000000" w:themeColor="text1"/>
              </w:rPr>
            </w:pPr>
            <w:r w:rsidRPr="00541A4C">
              <w:rPr>
                <w:b/>
                <w:bCs/>
                <w:color w:val="000000" w:themeColor="text1"/>
              </w:rPr>
              <w:t>2021-22</w:t>
            </w:r>
          </w:p>
        </w:tc>
      </w:tr>
      <w:tr w:rsidR="003528E5" w:rsidRPr="00541A4C" w14:paraId="52162F40" w14:textId="39B98A3F"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3528E5" w:rsidRPr="00541A4C" w:rsidRDefault="003528E5" w:rsidP="003528E5">
            <w:pPr>
              <w:rPr>
                <w:color w:val="000000"/>
              </w:rPr>
            </w:pPr>
            <w:r w:rsidRPr="00541A4C">
              <w:rPr>
                <w:color w:val="000000"/>
              </w:rPr>
              <w:t>Full Time Equivalent Students (FTES)</w:t>
            </w:r>
          </w:p>
        </w:tc>
        <w:tc>
          <w:tcPr>
            <w:tcW w:w="1530" w:type="dxa"/>
            <w:tcBorders>
              <w:top w:val="nil"/>
              <w:left w:val="nil"/>
              <w:bottom w:val="single" w:sz="4" w:space="0" w:color="auto"/>
              <w:right w:val="nil"/>
            </w:tcBorders>
            <w:vAlign w:val="bottom"/>
          </w:tcPr>
          <w:p w14:paraId="3EBA13BA" w14:textId="18295DD2" w:rsidR="003528E5" w:rsidRPr="00541A4C" w:rsidRDefault="003528E5" w:rsidP="003528E5">
            <w:pPr>
              <w:jc w:val="center"/>
              <w:rPr>
                <w:color w:val="000000"/>
              </w:rPr>
            </w:pPr>
            <w:r w:rsidRPr="00541A4C">
              <w:rPr>
                <w:color w:val="000000"/>
              </w:rPr>
              <w:t>4</w:t>
            </w:r>
            <w:r w:rsidR="001E0C5C" w:rsidRPr="00541A4C">
              <w:rPr>
                <w:color w:val="000000"/>
              </w:rPr>
              <w:t>,</w:t>
            </w:r>
            <w:r w:rsidRPr="00541A4C">
              <w:rPr>
                <w:color w:val="000000"/>
              </w:rPr>
              <w:t>161</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5E17043B" w:rsidR="003528E5" w:rsidRPr="00541A4C" w:rsidRDefault="003528E5" w:rsidP="003528E5">
            <w:pPr>
              <w:jc w:val="center"/>
              <w:rPr>
                <w:color w:val="000000"/>
              </w:rPr>
            </w:pPr>
            <w:r w:rsidRPr="00541A4C">
              <w:rPr>
                <w:color w:val="000000"/>
              </w:rPr>
              <w:t>3,931</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67D4BA1C" w:rsidR="003528E5" w:rsidRPr="00541A4C" w:rsidRDefault="003528E5" w:rsidP="003528E5">
            <w:pPr>
              <w:jc w:val="center"/>
              <w:rPr>
                <w:color w:val="000000"/>
              </w:rPr>
            </w:pPr>
            <w:r w:rsidRPr="00541A4C">
              <w:rPr>
                <w:color w:val="000000"/>
              </w:rPr>
              <w:t>3,622</w:t>
            </w:r>
          </w:p>
        </w:tc>
        <w:tc>
          <w:tcPr>
            <w:tcW w:w="1515" w:type="dxa"/>
            <w:tcBorders>
              <w:top w:val="nil"/>
              <w:left w:val="nil"/>
              <w:bottom w:val="single" w:sz="4" w:space="0" w:color="auto"/>
              <w:right w:val="single" w:sz="4" w:space="0" w:color="auto"/>
            </w:tcBorders>
            <w:shd w:val="clear" w:color="auto" w:fill="auto"/>
            <w:vAlign w:val="bottom"/>
          </w:tcPr>
          <w:p w14:paraId="1DF95B32" w14:textId="66F4AEF1" w:rsidR="003528E5" w:rsidRPr="00541A4C" w:rsidRDefault="003528E5" w:rsidP="003528E5">
            <w:pPr>
              <w:jc w:val="center"/>
              <w:rPr>
                <w:color w:val="000000"/>
              </w:rPr>
            </w:pPr>
            <w:r w:rsidRPr="00541A4C">
              <w:rPr>
                <w:color w:val="000000"/>
              </w:rPr>
              <w:t>3,259</w:t>
            </w:r>
          </w:p>
        </w:tc>
      </w:tr>
      <w:tr w:rsidR="003528E5" w:rsidRPr="00541A4C" w14:paraId="13DB3163" w14:textId="022C4B82"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81F7EFF" w14:textId="397C092E" w:rsidR="003528E5" w:rsidRPr="00541A4C" w:rsidRDefault="003528E5" w:rsidP="003528E5">
            <w:pPr>
              <w:rPr>
                <w:color w:val="000000"/>
              </w:rPr>
            </w:pPr>
            <w:r w:rsidRPr="00541A4C">
              <w:rPr>
                <w:color w:val="000000"/>
              </w:rPr>
              <w:t>Productivity</w:t>
            </w:r>
            <w:r w:rsidR="007B1651" w:rsidRPr="00541A4C">
              <w:rPr>
                <w:color w:val="000000"/>
              </w:rPr>
              <w:t xml:space="preserve"> (Avg. Goal = 17.5)</w:t>
            </w:r>
          </w:p>
        </w:tc>
        <w:tc>
          <w:tcPr>
            <w:tcW w:w="1530" w:type="dxa"/>
            <w:tcBorders>
              <w:top w:val="nil"/>
              <w:left w:val="nil"/>
              <w:bottom w:val="single" w:sz="4" w:space="0" w:color="auto"/>
              <w:right w:val="nil"/>
            </w:tcBorders>
            <w:vAlign w:val="bottom"/>
          </w:tcPr>
          <w:p w14:paraId="4FDA00B3" w14:textId="21AA0B32" w:rsidR="003528E5" w:rsidRPr="00541A4C" w:rsidRDefault="003528E5" w:rsidP="003528E5">
            <w:pPr>
              <w:jc w:val="center"/>
              <w:rPr>
                <w:color w:val="000000"/>
              </w:rPr>
            </w:pPr>
            <w:r w:rsidRPr="00541A4C">
              <w:rPr>
                <w:color w:val="000000"/>
              </w:rPr>
              <w:t>13</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53E84D88" w:rsidR="003528E5" w:rsidRPr="00541A4C" w:rsidRDefault="003528E5" w:rsidP="003528E5">
            <w:pPr>
              <w:jc w:val="center"/>
              <w:rPr>
                <w:color w:val="000000"/>
              </w:rPr>
            </w:pPr>
            <w:r w:rsidRPr="00541A4C">
              <w:rPr>
                <w:color w:val="000000"/>
              </w:rPr>
              <w:t>13.2</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11F34F86" w:rsidR="003528E5" w:rsidRPr="00541A4C" w:rsidRDefault="003528E5" w:rsidP="003528E5">
            <w:pPr>
              <w:jc w:val="center"/>
              <w:rPr>
                <w:color w:val="000000"/>
              </w:rPr>
            </w:pPr>
            <w:r w:rsidRPr="00541A4C">
              <w:rPr>
                <w:color w:val="000000"/>
              </w:rPr>
              <w:t>13</w:t>
            </w:r>
          </w:p>
        </w:tc>
        <w:tc>
          <w:tcPr>
            <w:tcW w:w="1515" w:type="dxa"/>
            <w:tcBorders>
              <w:top w:val="nil"/>
              <w:left w:val="nil"/>
              <w:bottom w:val="single" w:sz="4" w:space="0" w:color="auto"/>
              <w:right w:val="single" w:sz="4" w:space="0" w:color="auto"/>
            </w:tcBorders>
            <w:shd w:val="clear" w:color="auto" w:fill="auto"/>
            <w:vAlign w:val="bottom"/>
          </w:tcPr>
          <w:p w14:paraId="7859727F" w14:textId="3E3E777C" w:rsidR="003528E5" w:rsidRPr="00541A4C" w:rsidRDefault="003528E5" w:rsidP="003528E5">
            <w:pPr>
              <w:jc w:val="center"/>
              <w:rPr>
                <w:color w:val="000000"/>
              </w:rPr>
            </w:pPr>
            <w:r w:rsidRPr="00541A4C">
              <w:rPr>
                <w:color w:val="000000"/>
              </w:rPr>
              <w:t>10.9</w:t>
            </w:r>
          </w:p>
        </w:tc>
      </w:tr>
      <w:tr w:rsidR="003528E5" w:rsidRPr="00541A4C" w14:paraId="22CA2BA8" w14:textId="1A8A5BCA"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3528E5" w:rsidRPr="00541A4C" w:rsidRDefault="003528E5" w:rsidP="003528E5">
            <w:pPr>
              <w:rPr>
                <w:color w:val="000000"/>
              </w:rPr>
            </w:pPr>
            <w:r w:rsidRPr="00541A4C">
              <w:rPr>
                <w:color w:val="000000"/>
              </w:rPr>
              <w:t>Success Rate (%)</w:t>
            </w:r>
          </w:p>
        </w:tc>
        <w:tc>
          <w:tcPr>
            <w:tcW w:w="1530" w:type="dxa"/>
            <w:tcBorders>
              <w:top w:val="nil"/>
              <w:left w:val="nil"/>
              <w:bottom w:val="single" w:sz="4" w:space="0" w:color="auto"/>
              <w:right w:val="nil"/>
            </w:tcBorders>
            <w:vAlign w:val="bottom"/>
          </w:tcPr>
          <w:p w14:paraId="7E66A80B" w14:textId="137C4134" w:rsidR="003528E5" w:rsidRPr="00541A4C" w:rsidRDefault="003528E5" w:rsidP="003528E5">
            <w:pPr>
              <w:jc w:val="center"/>
              <w:rPr>
                <w:color w:val="000000"/>
              </w:rPr>
            </w:pPr>
            <w:r w:rsidRPr="00541A4C">
              <w:rPr>
                <w:color w:val="000000"/>
              </w:rPr>
              <w:t>69%</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D7AA589" w:rsidR="003528E5" w:rsidRPr="00541A4C" w:rsidRDefault="004E3D79" w:rsidP="003528E5">
            <w:pPr>
              <w:jc w:val="center"/>
              <w:rPr>
                <w:color w:val="000000"/>
              </w:rPr>
            </w:pPr>
            <w:r w:rsidRPr="00541A4C">
              <w:rPr>
                <w:color w:val="000000"/>
              </w:rPr>
              <w:t>77</w:t>
            </w:r>
            <w:r w:rsidR="003528E5" w:rsidRPr="00541A4C">
              <w:rPr>
                <w:color w:val="000000"/>
              </w:rPr>
              <w:t>%</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652D82A3" w:rsidR="003528E5" w:rsidRPr="00541A4C" w:rsidRDefault="00F70520" w:rsidP="003528E5">
            <w:pPr>
              <w:jc w:val="center"/>
              <w:rPr>
                <w:color w:val="000000"/>
              </w:rPr>
            </w:pPr>
            <w:r w:rsidRPr="00541A4C">
              <w:rPr>
                <w:color w:val="000000"/>
              </w:rPr>
              <w:t>7</w:t>
            </w:r>
            <w:r w:rsidR="004E3D79" w:rsidRPr="00541A4C">
              <w:rPr>
                <w:color w:val="000000"/>
              </w:rPr>
              <w:t>5</w:t>
            </w:r>
            <w:r w:rsidR="003528E5" w:rsidRPr="00541A4C">
              <w:rPr>
                <w:color w:val="000000"/>
              </w:rPr>
              <w:t>%*</w:t>
            </w:r>
          </w:p>
        </w:tc>
        <w:tc>
          <w:tcPr>
            <w:tcW w:w="1515" w:type="dxa"/>
            <w:tcBorders>
              <w:top w:val="nil"/>
              <w:left w:val="nil"/>
              <w:bottom w:val="single" w:sz="4" w:space="0" w:color="auto"/>
              <w:right w:val="single" w:sz="4" w:space="0" w:color="auto"/>
            </w:tcBorders>
            <w:shd w:val="clear" w:color="auto" w:fill="auto"/>
            <w:vAlign w:val="bottom"/>
          </w:tcPr>
          <w:p w14:paraId="48F02348" w14:textId="1DF98973" w:rsidR="003528E5" w:rsidRPr="00541A4C" w:rsidRDefault="004E3D79" w:rsidP="003528E5">
            <w:pPr>
              <w:jc w:val="center"/>
              <w:rPr>
                <w:color w:val="000000"/>
              </w:rPr>
            </w:pPr>
            <w:r w:rsidRPr="00541A4C">
              <w:rPr>
                <w:color w:val="000000"/>
              </w:rPr>
              <w:t>70</w:t>
            </w:r>
            <w:r w:rsidR="003528E5" w:rsidRPr="00541A4C">
              <w:rPr>
                <w:color w:val="000000"/>
              </w:rPr>
              <w:t>%</w:t>
            </w:r>
            <w:r w:rsidRPr="00541A4C">
              <w:rPr>
                <w:color w:val="000000"/>
              </w:rPr>
              <w:t>*</w:t>
            </w:r>
          </w:p>
        </w:tc>
      </w:tr>
      <w:tr w:rsidR="003528E5" w:rsidRPr="00541A4C" w14:paraId="1EDA3038" w14:textId="3F866543"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3528E5" w:rsidRPr="00541A4C" w:rsidRDefault="003528E5" w:rsidP="003528E5">
            <w:pPr>
              <w:rPr>
                <w:color w:val="000000"/>
              </w:rPr>
            </w:pPr>
            <w:r w:rsidRPr="00541A4C">
              <w:rPr>
                <w:color w:val="000000"/>
              </w:rPr>
              <w:t>Degrees + Certificates Awarded (#)</w:t>
            </w:r>
          </w:p>
        </w:tc>
        <w:tc>
          <w:tcPr>
            <w:tcW w:w="1530" w:type="dxa"/>
            <w:tcBorders>
              <w:top w:val="nil"/>
              <w:left w:val="nil"/>
              <w:bottom w:val="single" w:sz="4" w:space="0" w:color="auto"/>
              <w:right w:val="nil"/>
            </w:tcBorders>
            <w:vAlign w:val="bottom"/>
          </w:tcPr>
          <w:p w14:paraId="7CE629AF" w14:textId="20DE18AC" w:rsidR="003528E5" w:rsidRPr="00541A4C" w:rsidRDefault="003528E5" w:rsidP="003528E5">
            <w:pPr>
              <w:jc w:val="center"/>
              <w:rPr>
                <w:color w:val="000000"/>
              </w:rPr>
            </w:pPr>
            <w:r w:rsidRPr="00541A4C">
              <w:rPr>
                <w:color w:val="000000"/>
              </w:rPr>
              <w:t>948</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66790067" w:rsidR="003528E5" w:rsidRPr="00541A4C" w:rsidRDefault="00D9028D" w:rsidP="003528E5">
            <w:pPr>
              <w:jc w:val="center"/>
              <w:rPr>
                <w:color w:val="000000"/>
              </w:rPr>
            </w:pPr>
            <w:r w:rsidRPr="00541A4C">
              <w:rPr>
                <w:color w:val="000000"/>
              </w:rPr>
              <w:t>1</w:t>
            </w:r>
            <w:r w:rsidR="00E179CB" w:rsidRPr="00541A4C">
              <w:rPr>
                <w:color w:val="000000"/>
              </w:rPr>
              <w:t>,</w:t>
            </w:r>
            <w:r w:rsidRPr="00541A4C">
              <w:rPr>
                <w:color w:val="000000"/>
              </w:rPr>
              <w:t>109</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4B114F53" w:rsidR="003528E5" w:rsidRPr="00541A4C" w:rsidRDefault="003528E5" w:rsidP="003528E5">
            <w:pPr>
              <w:jc w:val="center"/>
              <w:rPr>
                <w:color w:val="000000"/>
              </w:rPr>
            </w:pPr>
            <w:r w:rsidRPr="00541A4C">
              <w:rPr>
                <w:color w:val="000000"/>
              </w:rPr>
              <w:t>1,</w:t>
            </w:r>
            <w:r w:rsidR="00D9028D" w:rsidRPr="00541A4C">
              <w:rPr>
                <w:color w:val="000000"/>
              </w:rPr>
              <w:t>027</w:t>
            </w:r>
          </w:p>
        </w:tc>
        <w:tc>
          <w:tcPr>
            <w:tcW w:w="1515" w:type="dxa"/>
            <w:tcBorders>
              <w:top w:val="nil"/>
              <w:left w:val="nil"/>
              <w:bottom w:val="single" w:sz="4" w:space="0" w:color="auto"/>
              <w:right w:val="single" w:sz="4" w:space="0" w:color="auto"/>
            </w:tcBorders>
            <w:shd w:val="clear" w:color="auto" w:fill="auto"/>
            <w:vAlign w:val="bottom"/>
          </w:tcPr>
          <w:p w14:paraId="21E78898" w14:textId="721D102C" w:rsidR="003528E5" w:rsidRPr="00541A4C" w:rsidRDefault="00D9028D" w:rsidP="003528E5">
            <w:pPr>
              <w:jc w:val="center"/>
              <w:rPr>
                <w:color w:val="000000"/>
              </w:rPr>
            </w:pPr>
            <w:r w:rsidRPr="00541A4C">
              <w:rPr>
                <w:color w:val="000000"/>
              </w:rPr>
              <w:t>960</w:t>
            </w:r>
          </w:p>
        </w:tc>
      </w:tr>
    </w:tbl>
    <w:p w14:paraId="1C27999C" w14:textId="0AADB838" w:rsidR="00613145" w:rsidRPr="00541A4C" w:rsidRDefault="00CC152D">
      <w:pPr>
        <w:rPr>
          <w:i/>
          <w:iCs/>
        </w:rPr>
      </w:pPr>
      <w:r w:rsidRPr="00541A4C">
        <w:rPr>
          <w:i/>
          <w:iCs/>
        </w:rPr>
        <w:t>*Excludes “EW” grades</w:t>
      </w:r>
    </w:p>
    <w:p w14:paraId="4580ED46" w14:textId="000BB8F3" w:rsidR="007276FE" w:rsidRPr="00541A4C" w:rsidRDefault="00067241">
      <w:pPr>
        <w:rPr>
          <w:i/>
          <w:iCs/>
        </w:rPr>
      </w:pPr>
      <w:r w:rsidRPr="00541A4C">
        <w:rPr>
          <w:i/>
          <w:iCs/>
        </w:rPr>
        <w:tab/>
      </w:r>
      <w:r w:rsidRPr="00541A4C">
        <w:rPr>
          <w:i/>
          <w:iCs/>
        </w:rPr>
        <w:tab/>
      </w:r>
      <w:r w:rsidRPr="00541A4C">
        <w:rPr>
          <w:i/>
          <w:iCs/>
        </w:rPr>
        <w:tab/>
      </w:r>
    </w:p>
    <w:tbl>
      <w:tblPr>
        <w:tblStyle w:val="TableGrid"/>
        <w:tblW w:w="0" w:type="auto"/>
        <w:tblLook w:val="04A0" w:firstRow="1" w:lastRow="0" w:firstColumn="1" w:lastColumn="0" w:noHBand="0" w:noVBand="1"/>
      </w:tblPr>
      <w:tblGrid>
        <w:gridCol w:w="9926"/>
      </w:tblGrid>
      <w:tr w:rsidR="00067241" w:rsidRPr="00541A4C" w14:paraId="02E46134" w14:textId="77777777" w:rsidTr="00067241">
        <w:tc>
          <w:tcPr>
            <w:tcW w:w="9926" w:type="dxa"/>
            <w:shd w:val="clear" w:color="auto" w:fill="000000" w:themeFill="text1"/>
          </w:tcPr>
          <w:p w14:paraId="35EDE7DA" w14:textId="77777777" w:rsidR="00067241" w:rsidRPr="00541A4C" w:rsidRDefault="00067241">
            <w:pPr>
              <w:rPr>
                <w:u w:val="single"/>
              </w:rPr>
            </w:pPr>
          </w:p>
        </w:tc>
      </w:tr>
    </w:tbl>
    <w:p w14:paraId="2E2227D8" w14:textId="77777777" w:rsidR="00067241" w:rsidRPr="00541A4C" w:rsidRDefault="00067241">
      <w:pPr>
        <w:rPr>
          <w:i/>
          <w:iCs/>
        </w:rPr>
      </w:pPr>
    </w:p>
    <w:p w14:paraId="5075A4A7" w14:textId="076ECA10" w:rsidR="00067241" w:rsidRPr="00541A4C" w:rsidRDefault="00067241" w:rsidP="00067241">
      <w:pPr>
        <w:pStyle w:val="NoSpacing"/>
        <w:rPr>
          <w:rFonts w:ascii="Times New Roman" w:hAnsi="Times New Roman" w:cs="Times New Roman"/>
          <w:b/>
          <w:bCs/>
          <w:sz w:val="24"/>
          <w:szCs w:val="24"/>
        </w:rPr>
      </w:pPr>
      <w:r w:rsidRPr="00541A4C">
        <w:rPr>
          <w:rFonts w:ascii="Times New Roman" w:hAnsi="Times New Roman" w:cs="Times New Roman"/>
          <w:b/>
          <w:bCs/>
          <w:color w:val="000000" w:themeColor="text1"/>
          <w:sz w:val="24"/>
          <w:szCs w:val="24"/>
        </w:rPr>
        <w:t xml:space="preserve">To view prior Program Reviews, </w:t>
      </w:r>
      <w:hyperlink r:id="rId14" w:history="1">
        <w:r w:rsidRPr="00541A4C">
          <w:rPr>
            <w:rStyle w:val="Hyperlink"/>
            <w:rFonts w:ascii="Times New Roman" w:hAnsi="Times New Roman" w:cs="Times New Roman"/>
            <w:b/>
            <w:bCs/>
            <w:sz w:val="24"/>
            <w:szCs w:val="24"/>
          </w:rPr>
          <w:t>click here</w:t>
        </w:r>
      </w:hyperlink>
      <w:r w:rsidRPr="00541A4C">
        <w:rPr>
          <w:rFonts w:ascii="Times New Roman" w:hAnsi="Times New Roman" w:cs="Times New Roman"/>
          <w:b/>
          <w:bCs/>
          <w:color w:val="000000" w:themeColor="text1"/>
          <w:sz w:val="24"/>
          <w:szCs w:val="24"/>
        </w:rPr>
        <w:t xml:space="preserve">.  To view prior Annual Program Updates, </w:t>
      </w:r>
      <w:hyperlink r:id="rId15" w:history="1">
        <w:r w:rsidRPr="00541A4C">
          <w:rPr>
            <w:rStyle w:val="Hyperlink"/>
            <w:rFonts w:ascii="Times New Roman" w:hAnsi="Times New Roman" w:cs="Times New Roman"/>
            <w:b/>
            <w:bCs/>
            <w:sz w:val="24"/>
            <w:szCs w:val="24"/>
          </w:rPr>
          <w:t>click here</w:t>
        </w:r>
      </w:hyperlink>
      <w:r w:rsidRPr="00541A4C">
        <w:rPr>
          <w:rFonts w:ascii="Times New Roman" w:hAnsi="Times New Roman" w:cs="Times New Roman"/>
          <w:b/>
          <w:bCs/>
          <w:color w:val="000000" w:themeColor="text1"/>
          <w:sz w:val="24"/>
          <w:szCs w:val="24"/>
        </w:rPr>
        <w:t xml:space="preserve">. </w:t>
      </w:r>
      <w:r w:rsidRPr="00541A4C">
        <w:rPr>
          <w:rFonts w:ascii="Times New Roman" w:hAnsi="Times New Roman" w:cs="Times New Roman"/>
          <w:b/>
          <w:bCs/>
          <w:color w:val="FF0000"/>
          <w:sz w:val="24"/>
          <w:szCs w:val="24"/>
        </w:rPr>
        <w:t xml:space="preserve">   </w:t>
      </w:r>
    </w:p>
    <w:p w14:paraId="6D90434E" w14:textId="4C3A77F4" w:rsidR="00067241" w:rsidRPr="00541A4C" w:rsidRDefault="00067241">
      <w:pPr>
        <w:rPr>
          <w:i/>
          <w:iCs/>
        </w:rPr>
      </w:pPr>
    </w:p>
    <w:p w14:paraId="00C46A00" w14:textId="77777777" w:rsidR="00067241" w:rsidRPr="00541A4C" w:rsidRDefault="00067241" w:rsidP="00067241">
      <w:pPr>
        <w:shd w:val="clear" w:color="auto" w:fill="000000" w:themeFill="text1"/>
        <w:rPr>
          <w:u w:val="single"/>
        </w:rPr>
      </w:pPr>
    </w:p>
    <w:p w14:paraId="7A18AAF2" w14:textId="77777777" w:rsidR="00067241" w:rsidRPr="00541A4C" w:rsidRDefault="00067241">
      <w:pPr>
        <w:rPr>
          <w:i/>
          <w:iCs/>
          <w:u w:val="single"/>
        </w:rPr>
      </w:pPr>
    </w:p>
    <w:tbl>
      <w:tblPr>
        <w:tblStyle w:val="TableGrid"/>
        <w:tblW w:w="0" w:type="auto"/>
        <w:tblLook w:val="04A0" w:firstRow="1" w:lastRow="0" w:firstColumn="1" w:lastColumn="0" w:noHBand="0" w:noVBand="1"/>
      </w:tblPr>
      <w:tblGrid>
        <w:gridCol w:w="4963"/>
        <w:gridCol w:w="2862"/>
        <w:gridCol w:w="2101"/>
      </w:tblGrid>
      <w:tr w:rsidR="00C634A7" w:rsidRPr="00541A4C" w14:paraId="0A055AA2" w14:textId="77777777" w:rsidTr="00FE4E3B">
        <w:tc>
          <w:tcPr>
            <w:tcW w:w="9926" w:type="dxa"/>
            <w:gridSpan w:val="3"/>
            <w:tcBorders>
              <w:bottom w:val="single" w:sz="4" w:space="0" w:color="auto"/>
            </w:tcBorders>
            <w:shd w:val="clear" w:color="auto" w:fill="009193"/>
          </w:tcPr>
          <w:p w14:paraId="6BBEE14C" w14:textId="60024CD6" w:rsidR="00C634A7" w:rsidRPr="00541A4C" w:rsidRDefault="00C94A73" w:rsidP="00E35ADB">
            <w:pPr>
              <w:pStyle w:val="NoSpacing"/>
              <w:ind w:left="46"/>
              <w:rPr>
                <w:rFonts w:ascii="Times New Roman" w:hAnsi="Times New Roman" w:cs="Times New Roman"/>
                <w:b/>
                <w:bCs/>
                <w:color w:val="FFFFFF" w:themeColor="background1"/>
                <w:sz w:val="24"/>
                <w:szCs w:val="24"/>
              </w:rPr>
            </w:pPr>
            <w:r w:rsidRPr="00541A4C">
              <w:rPr>
                <w:rFonts w:ascii="Times New Roman" w:hAnsi="Times New Roman" w:cs="Times New Roman"/>
                <w:b/>
                <w:bCs/>
                <w:color w:val="FFFFFF" w:themeColor="background1"/>
                <w:sz w:val="24"/>
                <w:szCs w:val="24"/>
              </w:rPr>
              <w:t xml:space="preserve">1a. </w:t>
            </w:r>
            <w:r w:rsidR="00C634A7" w:rsidRPr="00541A4C">
              <w:rPr>
                <w:rFonts w:ascii="Times New Roman" w:hAnsi="Times New Roman" w:cs="Times New Roman"/>
                <w:b/>
                <w:bCs/>
                <w:color w:val="FFFFFF" w:themeColor="background1"/>
                <w:sz w:val="24"/>
                <w:szCs w:val="24"/>
              </w:rPr>
              <w:t>D</w:t>
            </w:r>
            <w:r w:rsidR="00CF2027" w:rsidRPr="00541A4C">
              <w:rPr>
                <w:rFonts w:ascii="Times New Roman" w:hAnsi="Times New Roman" w:cs="Times New Roman"/>
                <w:b/>
                <w:bCs/>
                <w:color w:val="FFFFFF" w:themeColor="background1"/>
                <w:sz w:val="24"/>
                <w:szCs w:val="24"/>
              </w:rPr>
              <w:t xml:space="preserve">epartment Description </w:t>
            </w:r>
          </w:p>
          <w:p w14:paraId="6053CDA7" w14:textId="5C680D81" w:rsidR="00C634A7" w:rsidRPr="00541A4C" w:rsidRDefault="00C634A7" w:rsidP="00C634A7">
            <w:pPr>
              <w:pStyle w:val="NoSpacing"/>
              <w:ind w:left="80"/>
              <w:rPr>
                <w:rFonts w:ascii="Times New Roman" w:hAnsi="Times New Roman" w:cs="Times New Roman"/>
                <w:sz w:val="24"/>
                <w:szCs w:val="24"/>
              </w:rPr>
            </w:pPr>
            <w:r w:rsidRPr="00541A4C">
              <w:rPr>
                <w:rFonts w:ascii="Times New Roman" w:hAnsi="Times New Roman" w:cs="Times New Roman"/>
                <w:color w:val="FFFFFF" w:themeColor="background1"/>
                <w:sz w:val="24"/>
                <w:szCs w:val="24"/>
              </w:rPr>
              <w:t xml:space="preserve">Please verify the mission statement for your department. If your </w:t>
            </w:r>
            <w:r w:rsidR="00F904E1" w:rsidRPr="00541A4C">
              <w:rPr>
                <w:rFonts w:ascii="Times New Roman" w:hAnsi="Times New Roman" w:cs="Times New Roman"/>
                <w:color w:val="FFFFFF" w:themeColor="background1"/>
                <w:sz w:val="24"/>
                <w:szCs w:val="24"/>
              </w:rPr>
              <w:t>department</w:t>
            </w:r>
            <w:r w:rsidRPr="00541A4C">
              <w:rPr>
                <w:rFonts w:ascii="Times New Roman" w:hAnsi="Times New Roman" w:cs="Times New Roman"/>
                <w:color w:val="FFFFFF" w:themeColor="background1"/>
                <w:sz w:val="24"/>
                <w:szCs w:val="24"/>
              </w:rPr>
              <w:t xml:space="preserve"> has not created a mission statement, provide details on how your department supports and contributes to the College’s mission.</w:t>
            </w:r>
          </w:p>
        </w:tc>
      </w:tr>
      <w:tr w:rsidR="00241CB8" w:rsidRPr="00541A4C" w14:paraId="200C4A14" w14:textId="77777777" w:rsidTr="00E35ADB">
        <w:tc>
          <w:tcPr>
            <w:tcW w:w="9926" w:type="dxa"/>
            <w:gridSpan w:val="3"/>
            <w:tcBorders>
              <w:bottom w:val="single" w:sz="4" w:space="0" w:color="auto"/>
            </w:tcBorders>
            <w:shd w:val="clear" w:color="auto" w:fill="FFF2CC" w:themeFill="accent4" w:themeFillTint="33"/>
          </w:tcPr>
          <w:p w14:paraId="28093329" w14:textId="77777777" w:rsidR="006178BD" w:rsidRPr="00541A4C" w:rsidRDefault="006178BD" w:rsidP="006178BD">
            <w:pPr>
              <w:pStyle w:val="NormalWeb"/>
              <w:rPr>
                <w:color w:val="707070"/>
              </w:rPr>
            </w:pPr>
            <w:r w:rsidRPr="00541A4C">
              <w:rPr>
                <w:color w:val="707070"/>
              </w:rPr>
              <w:t>We are an interdisciplinary, multifaceted program that offers classes in African American Studies, Asian American Studies, Mexican/Latin American Studies, and Ethnic Studies.</w:t>
            </w:r>
          </w:p>
          <w:p w14:paraId="03FC667E" w14:textId="77777777" w:rsidR="006178BD" w:rsidRPr="00541A4C" w:rsidRDefault="006178BD" w:rsidP="006178BD">
            <w:pPr>
              <w:pStyle w:val="NormalWeb"/>
              <w:rPr>
                <w:color w:val="707070"/>
              </w:rPr>
            </w:pPr>
            <w:r w:rsidRPr="00541A4C">
              <w:rPr>
                <w:color w:val="707070"/>
              </w:rPr>
              <w:t>Ethnic Studies was born out of struggle, through the efforts of student and community-based activism. We continually honor this legacy, in and out of the classroom, and take great pride in developing socially-conscious scholars.</w:t>
            </w:r>
          </w:p>
          <w:p w14:paraId="04F4A4E7" w14:textId="77777777" w:rsidR="006178BD" w:rsidRPr="00541A4C" w:rsidRDefault="006178BD" w:rsidP="006178BD">
            <w:pPr>
              <w:pStyle w:val="NormalWeb"/>
              <w:rPr>
                <w:color w:val="707070"/>
              </w:rPr>
            </w:pPr>
            <w:r w:rsidRPr="00541A4C">
              <w:rPr>
                <w:color w:val="707070"/>
              </w:rPr>
              <w:t>Ethnic Studies at Berkeley City College emphasizes intersectional, relational, and decolonial approaches to the study of race, ethnicity, and indigeneity, within and beyond what is presently the United States.</w:t>
            </w:r>
          </w:p>
          <w:p w14:paraId="3866DD14" w14:textId="77777777" w:rsidR="006178BD" w:rsidRPr="00541A4C" w:rsidRDefault="006178BD" w:rsidP="006178BD">
            <w:pPr>
              <w:pStyle w:val="NormalWeb"/>
              <w:rPr>
                <w:color w:val="707070"/>
              </w:rPr>
            </w:pPr>
            <w:r w:rsidRPr="00541A4C">
              <w:rPr>
                <w:color w:val="707070"/>
              </w:rPr>
              <w:t>Our students are motivated and engaged, and drawn to our program out of an interest in social justice and racial equity.</w:t>
            </w:r>
          </w:p>
          <w:p w14:paraId="386E393A" w14:textId="77777777" w:rsidR="00241CB8" w:rsidRPr="00541A4C" w:rsidRDefault="00241CB8" w:rsidP="00241CB8">
            <w:pPr>
              <w:pStyle w:val="NoSpacing"/>
              <w:ind w:left="46"/>
              <w:rPr>
                <w:rFonts w:ascii="Times New Roman" w:hAnsi="Times New Roman" w:cs="Times New Roman"/>
                <w:b/>
                <w:bCs/>
                <w:color w:val="FFFFFF" w:themeColor="background1"/>
                <w:sz w:val="24"/>
                <w:szCs w:val="24"/>
              </w:rPr>
            </w:pPr>
          </w:p>
          <w:p w14:paraId="2B240624" w14:textId="1282A12F" w:rsidR="00241CB8" w:rsidRPr="00541A4C" w:rsidRDefault="00241CB8" w:rsidP="00241CB8">
            <w:pPr>
              <w:pStyle w:val="NoSpacing"/>
              <w:ind w:left="46"/>
              <w:rPr>
                <w:rFonts w:ascii="Times New Roman" w:hAnsi="Times New Roman" w:cs="Times New Roman"/>
                <w:b/>
                <w:bCs/>
                <w:color w:val="FFFFFF" w:themeColor="background1"/>
                <w:sz w:val="24"/>
                <w:szCs w:val="24"/>
              </w:rPr>
            </w:pPr>
          </w:p>
        </w:tc>
      </w:tr>
      <w:tr w:rsidR="00AC3850" w:rsidRPr="00541A4C" w14:paraId="48687990" w14:textId="77777777" w:rsidTr="00A45E54">
        <w:trPr>
          <w:trHeight w:val="207"/>
        </w:trPr>
        <w:tc>
          <w:tcPr>
            <w:tcW w:w="4963" w:type="dxa"/>
            <w:shd w:val="clear" w:color="auto" w:fill="D9D9D9" w:themeFill="background1" w:themeFillShade="D9"/>
            <w:vAlign w:val="bottom"/>
          </w:tcPr>
          <w:p w14:paraId="460FF505" w14:textId="534A9A76" w:rsidR="00AC3850" w:rsidRPr="00541A4C" w:rsidRDefault="00AC3850" w:rsidP="00AC3850">
            <w:pPr>
              <w:pStyle w:val="NoSpacing"/>
              <w:ind w:left="46"/>
              <w:rPr>
                <w:rFonts w:ascii="Times New Roman" w:hAnsi="Times New Roman" w:cs="Times New Roman"/>
                <w:b/>
                <w:bCs/>
                <w:color w:val="000000" w:themeColor="text1"/>
                <w:sz w:val="24"/>
                <w:szCs w:val="24"/>
              </w:rPr>
            </w:pPr>
            <w:r w:rsidRPr="00541A4C">
              <w:rPr>
                <w:rFonts w:ascii="Times New Roman" w:hAnsi="Times New Roman" w:cs="Times New Roman"/>
                <w:b/>
                <w:bCs/>
                <w:color w:val="000000" w:themeColor="text1"/>
                <w:sz w:val="24"/>
                <w:szCs w:val="24"/>
              </w:rPr>
              <w:lastRenderedPageBreak/>
              <w:t xml:space="preserve">Name(s) of member(s) completing this </w:t>
            </w:r>
            <w:r w:rsidR="006B032A" w:rsidRPr="00541A4C">
              <w:rPr>
                <w:rFonts w:ascii="Times New Roman" w:hAnsi="Times New Roman" w:cs="Times New Roman"/>
                <w:b/>
                <w:bCs/>
                <w:color w:val="000000" w:themeColor="text1"/>
                <w:sz w:val="24"/>
                <w:szCs w:val="24"/>
              </w:rPr>
              <w:t>APU</w:t>
            </w:r>
          </w:p>
        </w:tc>
        <w:tc>
          <w:tcPr>
            <w:tcW w:w="2862" w:type="dxa"/>
            <w:shd w:val="clear" w:color="auto" w:fill="D9D9D9" w:themeFill="background1" w:themeFillShade="D9"/>
            <w:vAlign w:val="bottom"/>
          </w:tcPr>
          <w:p w14:paraId="6D379C00" w14:textId="4C3F4DB0" w:rsidR="00AC3850" w:rsidRPr="00541A4C" w:rsidRDefault="00AC3850" w:rsidP="00AC3850">
            <w:pPr>
              <w:pStyle w:val="NoSpacing"/>
              <w:ind w:left="46"/>
              <w:rPr>
                <w:rFonts w:ascii="Times New Roman" w:hAnsi="Times New Roman" w:cs="Times New Roman"/>
                <w:b/>
                <w:bCs/>
                <w:color w:val="000000" w:themeColor="text1"/>
                <w:sz w:val="24"/>
                <w:szCs w:val="24"/>
              </w:rPr>
            </w:pPr>
            <w:r w:rsidRPr="00541A4C">
              <w:rPr>
                <w:rFonts w:ascii="Times New Roman" w:hAnsi="Times New Roman" w:cs="Times New Roman"/>
                <w:b/>
                <w:bCs/>
                <w:color w:val="000000" w:themeColor="text1"/>
                <w:sz w:val="24"/>
                <w:szCs w:val="24"/>
              </w:rPr>
              <w:t xml:space="preserve">Department </w:t>
            </w:r>
          </w:p>
        </w:tc>
        <w:tc>
          <w:tcPr>
            <w:tcW w:w="2101" w:type="dxa"/>
            <w:shd w:val="clear" w:color="auto" w:fill="D9D9D9" w:themeFill="background1" w:themeFillShade="D9"/>
            <w:vAlign w:val="bottom"/>
          </w:tcPr>
          <w:p w14:paraId="77C129AB" w14:textId="59F175FD" w:rsidR="00AC3850" w:rsidRPr="00541A4C" w:rsidRDefault="00AC3850" w:rsidP="00AC3850">
            <w:pPr>
              <w:pStyle w:val="NoSpacing"/>
              <w:ind w:left="46"/>
              <w:rPr>
                <w:rFonts w:ascii="Times New Roman" w:hAnsi="Times New Roman" w:cs="Times New Roman"/>
                <w:b/>
                <w:bCs/>
                <w:color w:val="000000" w:themeColor="text1"/>
                <w:sz w:val="24"/>
                <w:szCs w:val="24"/>
              </w:rPr>
            </w:pPr>
            <w:r w:rsidRPr="00541A4C">
              <w:rPr>
                <w:rFonts w:ascii="Times New Roman" w:hAnsi="Times New Roman" w:cs="Times New Roman"/>
                <w:b/>
                <w:bCs/>
                <w:color w:val="000000" w:themeColor="text1"/>
                <w:sz w:val="24"/>
                <w:szCs w:val="24"/>
              </w:rPr>
              <w:t>Completion Date</w:t>
            </w:r>
          </w:p>
        </w:tc>
      </w:tr>
      <w:tr w:rsidR="00AC3850" w:rsidRPr="00541A4C" w14:paraId="626B4E3E" w14:textId="77777777" w:rsidTr="00821912">
        <w:trPr>
          <w:trHeight w:val="206"/>
        </w:trPr>
        <w:tc>
          <w:tcPr>
            <w:tcW w:w="4963" w:type="dxa"/>
            <w:shd w:val="clear" w:color="auto" w:fill="FFF2CC" w:themeFill="accent4" w:themeFillTint="33"/>
            <w:vAlign w:val="bottom"/>
          </w:tcPr>
          <w:p w14:paraId="3556AAD5" w14:textId="77777777" w:rsidR="00AC3850" w:rsidRPr="00541A4C" w:rsidRDefault="00AC3850" w:rsidP="00BF4F9D">
            <w:pPr>
              <w:pStyle w:val="NoSpacing"/>
              <w:ind w:left="46"/>
              <w:rPr>
                <w:rFonts w:ascii="Times New Roman" w:hAnsi="Times New Roman" w:cs="Times New Roman"/>
                <w:color w:val="000000" w:themeColor="text1"/>
                <w:sz w:val="24"/>
                <w:szCs w:val="24"/>
              </w:rPr>
            </w:pPr>
          </w:p>
          <w:p w14:paraId="0C4DDCDE" w14:textId="40738FCB" w:rsidR="00AC3850" w:rsidRPr="00541A4C" w:rsidRDefault="006178BD" w:rsidP="00BF4F9D">
            <w:pPr>
              <w:pStyle w:val="NoSpacing"/>
              <w:ind w:left="46"/>
              <w:rPr>
                <w:rFonts w:ascii="Times New Roman" w:hAnsi="Times New Roman" w:cs="Times New Roman"/>
                <w:color w:val="FFFFFF" w:themeColor="background1"/>
                <w:sz w:val="24"/>
                <w:szCs w:val="24"/>
              </w:rPr>
            </w:pPr>
            <w:r w:rsidRPr="00541A4C">
              <w:rPr>
                <w:rFonts w:ascii="Times New Roman" w:hAnsi="Times New Roman" w:cs="Times New Roman"/>
                <w:color w:val="000000" w:themeColor="text1"/>
                <w:sz w:val="24"/>
                <w:szCs w:val="24"/>
              </w:rPr>
              <w:t xml:space="preserve">Alejandro Wolbert Perez </w:t>
            </w:r>
          </w:p>
        </w:tc>
        <w:tc>
          <w:tcPr>
            <w:tcW w:w="2862" w:type="dxa"/>
            <w:shd w:val="clear" w:color="auto" w:fill="FFF2CC" w:themeFill="accent4" w:themeFillTint="33"/>
            <w:vAlign w:val="bottom"/>
          </w:tcPr>
          <w:p w14:paraId="221EEE64" w14:textId="7F7BDF26" w:rsidR="00AC3850" w:rsidRPr="00541A4C" w:rsidRDefault="006178BD" w:rsidP="00BF4F9D">
            <w:pPr>
              <w:pStyle w:val="NoSpacing"/>
              <w:ind w:left="46"/>
              <w:rPr>
                <w:rFonts w:ascii="Times New Roman" w:hAnsi="Times New Roman" w:cs="Times New Roman"/>
                <w:color w:val="000000" w:themeColor="text1"/>
                <w:sz w:val="24"/>
                <w:szCs w:val="24"/>
              </w:rPr>
            </w:pPr>
            <w:r w:rsidRPr="00541A4C">
              <w:rPr>
                <w:rFonts w:ascii="Times New Roman" w:hAnsi="Times New Roman" w:cs="Times New Roman"/>
                <w:color w:val="000000" w:themeColor="text1"/>
                <w:sz w:val="24"/>
                <w:szCs w:val="24"/>
              </w:rPr>
              <w:t>Social Science</w:t>
            </w:r>
          </w:p>
        </w:tc>
        <w:tc>
          <w:tcPr>
            <w:tcW w:w="2101" w:type="dxa"/>
            <w:shd w:val="clear" w:color="auto" w:fill="FFF2CC" w:themeFill="accent4" w:themeFillTint="33"/>
            <w:vAlign w:val="bottom"/>
          </w:tcPr>
          <w:p w14:paraId="32758B3C" w14:textId="0F7BEF2F" w:rsidR="00AC3850" w:rsidRPr="00541A4C" w:rsidRDefault="006178BD" w:rsidP="00BF4F9D">
            <w:pPr>
              <w:pStyle w:val="NoSpacing"/>
              <w:ind w:left="46"/>
              <w:rPr>
                <w:rFonts w:ascii="Times New Roman" w:hAnsi="Times New Roman" w:cs="Times New Roman"/>
                <w:color w:val="000000" w:themeColor="text1"/>
                <w:sz w:val="24"/>
                <w:szCs w:val="24"/>
              </w:rPr>
            </w:pPr>
            <w:r w:rsidRPr="00541A4C">
              <w:rPr>
                <w:rFonts w:ascii="Times New Roman" w:hAnsi="Times New Roman" w:cs="Times New Roman"/>
                <w:color w:val="000000" w:themeColor="text1"/>
                <w:sz w:val="24"/>
                <w:szCs w:val="24"/>
              </w:rPr>
              <w:t>11/30/22</w:t>
            </w:r>
          </w:p>
        </w:tc>
      </w:tr>
      <w:tr w:rsidR="00C634A7" w:rsidRPr="00541A4C" w14:paraId="7A624E70" w14:textId="77777777" w:rsidTr="00A45E54">
        <w:tc>
          <w:tcPr>
            <w:tcW w:w="9926" w:type="dxa"/>
            <w:gridSpan w:val="3"/>
            <w:tcBorders>
              <w:top w:val="single" w:sz="4" w:space="0" w:color="auto"/>
              <w:bottom w:val="single" w:sz="4" w:space="0" w:color="auto"/>
            </w:tcBorders>
            <w:shd w:val="clear" w:color="auto" w:fill="D9D9D9" w:themeFill="background1" w:themeFillShade="D9"/>
          </w:tcPr>
          <w:p w14:paraId="45D43E2E" w14:textId="2FF8D6A4" w:rsidR="00C634A7" w:rsidRPr="00541A4C" w:rsidRDefault="00C634A7" w:rsidP="00C634A7">
            <w:pPr>
              <w:pStyle w:val="NoSpacing"/>
              <w:ind w:right="-90"/>
              <w:rPr>
                <w:rFonts w:ascii="Times New Roman" w:hAnsi="Times New Roman" w:cs="Times New Roman"/>
                <w:b/>
                <w:bCs/>
                <w:sz w:val="24"/>
                <w:szCs w:val="24"/>
              </w:rPr>
            </w:pPr>
            <w:r w:rsidRPr="00541A4C">
              <w:rPr>
                <w:rFonts w:ascii="Times New Roman" w:hAnsi="Times New Roman" w:cs="Times New Roman"/>
                <w:b/>
                <w:bCs/>
                <w:sz w:val="24"/>
                <w:szCs w:val="24"/>
              </w:rPr>
              <w:t xml:space="preserve">List faculty names </w:t>
            </w:r>
            <w:r w:rsidRPr="00541A4C">
              <w:rPr>
                <w:rFonts w:ascii="Times New Roman" w:hAnsi="Times New Roman" w:cs="Times New Roman"/>
                <w:b/>
                <w:bCs/>
                <w:color w:val="000000" w:themeColor="text1"/>
                <w:sz w:val="24"/>
                <w:szCs w:val="24"/>
              </w:rPr>
              <w:t xml:space="preserve">with assignments in fall </w:t>
            </w:r>
            <w:r w:rsidR="00AB3545" w:rsidRPr="00541A4C">
              <w:rPr>
                <w:rFonts w:ascii="Times New Roman" w:hAnsi="Times New Roman" w:cs="Times New Roman"/>
                <w:b/>
                <w:bCs/>
                <w:color w:val="000000" w:themeColor="text1"/>
                <w:sz w:val="24"/>
                <w:szCs w:val="24"/>
              </w:rPr>
              <w:t>2022</w:t>
            </w:r>
            <w:r w:rsidRPr="00541A4C">
              <w:rPr>
                <w:rFonts w:ascii="Times New Roman" w:hAnsi="Times New Roman" w:cs="Times New Roman"/>
                <w:b/>
                <w:bCs/>
                <w:color w:val="000000" w:themeColor="text1"/>
                <w:sz w:val="24"/>
                <w:szCs w:val="24"/>
              </w:rPr>
              <w:t>.</w:t>
            </w:r>
          </w:p>
        </w:tc>
      </w:tr>
      <w:tr w:rsidR="00C634A7" w:rsidRPr="00541A4C" w14:paraId="3C1A124C" w14:textId="77777777" w:rsidTr="00A45E54">
        <w:trPr>
          <w:trHeight w:val="132"/>
        </w:trPr>
        <w:tc>
          <w:tcPr>
            <w:tcW w:w="4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2787A2" w14:textId="22FC8843" w:rsidR="00C634A7" w:rsidRPr="00541A4C" w:rsidRDefault="00C634A7" w:rsidP="00C634A7">
            <w:pPr>
              <w:pStyle w:val="NoSpacing"/>
              <w:rPr>
                <w:rFonts w:ascii="Times New Roman" w:hAnsi="Times New Roman" w:cs="Times New Roman"/>
                <w:color w:val="000000" w:themeColor="text1"/>
                <w:sz w:val="24"/>
                <w:szCs w:val="24"/>
              </w:rPr>
            </w:pPr>
            <w:r w:rsidRPr="00541A4C">
              <w:rPr>
                <w:rFonts w:ascii="Times New Roman" w:hAnsi="Times New Roman" w:cs="Times New Roman"/>
                <w:color w:val="000000" w:themeColor="text1"/>
                <w:sz w:val="24"/>
                <w:szCs w:val="24"/>
              </w:rPr>
              <w:t>Full Time</w:t>
            </w:r>
          </w:p>
        </w:tc>
        <w:tc>
          <w:tcPr>
            <w:tcW w:w="49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815D3" w14:textId="4D0424B1" w:rsidR="00C634A7" w:rsidRPr="00541A4C" w:rsidRDefault="00C634A7" w:rsidP="00C634A7">
            <w:pPr>
              <w:pStyle w:val="NoSpacing"/>
              <w:rPr>
                <w:rFonts w:ascii="Times New Roman" w:hAnsi="Times New Roman" w:cs="Times New Roman"/>
                <w:color w:val="000000" w:themeColor="text1"/>
                <w:sz w:val="24"/>
                <w:szCs w:val="24"/>
              </w:rPr>
            </w:pPr>
            <w:r w:rsidRPr="00541A4C">
              <w:rPr>
                <w:rFonts w:ascii="Times New Roman" w:hAnsi="Times New Roman" w:cs="Times New Roman"/>
                <w:color w:val="000000" w:themeColor="text1"/>
                <w:sz w:val="24"/>
                <w:szCs w:val="24"/>
              </w:rPr>
              <w:t>Part Time</w:t>
            </w:r>
          </w:p>
        </w:tc>
      </w:tr>
      <w:tr w:rsidR="00C634A7" w:rsidRPr="00541A4C" w14:paraId="30412837" w14:textId="77777777" w:rsidTr="00821912">
        <w:trPr>
          <w:trHeight w:val="131"/>
        </w:trPr>
        <w:tc>
          <w:tcPr>
            <w:tcW w:w="4963" w:type="dxa"/>
            <w:tcBorders>
              <w:top w:val="single" w:sz="4" w:space="0" w:color="auto"/>
            </w:tcBorders>
            <w:shd w:val="clear" w:color="auto" w:fill="FFF2CC" w:themeFill="accent4" w:themeFillTint="33"/>
            <w:vAlign w:val="bottom"/>
          </w:tcPr>
          <w:p w14:paraId="049756DB" w14:textId="77777777" w:rsidR="00C634A7" w:rsidRPr="00541A4C" w:rsidRDefault="00C634A7" w:rsidP="00BF4F9D">
            <w:pPr>
              <w:pStyle w:val="NoSpacing"/>
              <w:rPr>
                <w:rFonts w:ascii="Times New Roman" w:hAnsi="Times New Roman" w:cs="Times New Roman"/>
                <w:sz w:val="24"/>
                <w:szCs w:val="24"/>
              </w:rPr>
            </w:pPr>
          </w:p>
        </w:tc>
        <w:tc>
          <w:tcPr>
            <w:tcW w:w="4963" w:type="dxa"/>
            <w:gridSpan w:val="2"/>
            <w:tcBorders>
              <w:top w:val="single" w:sz="4" w:space="0" w:color="auto"/>
            </w:tcBorders>
            <w:shd w:val="clear" w:color="auto" w:fill="FFF2CC" w:themeFill="accent4" w:themeFillTint="33"/>
            <w:vAlign w:val="bottom"/>
          </w:tcPr>
          <w:p w14:paraId="33D0569D" w14:textId="7BF688D1" w:rsidR="00C634A7" w:rsidRPr="00541A4C" w:rsidRDefault="006178BD" w:rsidP="00BF4F9D">
            <w:pPr>
              <w:pStyle w:val="NoSpacing"/>
              <w:rPr>
                <w:rFonts w:ascii="Times New Roman" w:hAnsi="Times New Roman" w:cs="Times New Roman"/>
                <w:sz w:val="24"/>
                <w:szCs w:val="24"/>
              </w:rPr>
            </w:pPr>
            <w:r w:rsidRPr="00541A4C">
              <w:rPr>
                <w:rFonts w:ascii="Times New Roman" w:hAnsi="Times New Roman" w:cs="Times New Roman"/>
                <w:sz w:val="24"/>
                <w:szCs w:val="24"/>
              </w:rPr>
              <w:t xml:space="preserve">Jimmy </w:t>
            </w:r>
            <w:proofErr w:type="spellStart"/>
            <w:r w:rsidRPr="00541A4C">
              <w:rPr>
                <w:rFonts w:ascii="Times New Roman" w:hAnsi="Times New Roman" w:cs="Times New Roman"/>
                <w:sz w:val="24"/>
                <w:szCs w:val="24"/>
              </w:rPr>
              <w:t>Crutison</w:t>
            </w:r>
            <w:proofErr w:type="spellEnd"/>
          </w:p>
          <w:p w14:paraId="3BEBC6A4" w14:textId="26CE9E5A" w:rsidR="006178BD" w:rsidRPr="00541A4C" w:rsidRDefault="006178BD" w:rsidP="00BF4F9D">
            <w:pPr>
              <w:pStyle w:val="NoSpacing"/>
              <w:rPr>
                <w:rFonts w:ascii="Times New Roman" w:hAnsi="Times New Roman" w:cs="Times New Roman"/>
                <w:sz w:val="24"/>
                <w:szCs w:val="24"/>
              </w:rPr>
            </w:pPr>
            <w:r w:rsidRPr="00541A4C">
              <w:rPr>
                <w:rFonts w:ascii="Times New Roman" w:hAnsi="Times New Roman" w:cs="Times New Roman"/>
                <w:sz w:val="24"/>
                <w:szCs w:val="24"/>
              </w:rPr>
              <w:t>Jeffrey Ow</w:t>
            </w:r>
          </w:p>
          <w:p w14:paraId="5BB0FF5B" w14:textId="3300768A" w:rsidR="00C634A7" w:rsidRPr="00541A4C" w:rsidRDefault="00C634A7" w:rsidP="00BF4F9D">
            <w:pPr>
              <w:pStyle w:val="NoSpacing"/>
              <w:rPr>
                <w:rFonts w:ascii="Times New Roman" w:hAnsi="Times New Roman" w:cs="Times New Roman"/>
                <w:sz w:val="24"/>
                <w:szCs w:val="24"/>
              </w:rPr>
            </w:pPr>
          </w:p>
        </w:tc>
      </w:tr>
    </w:tbl>
    <w:p w14:paraId="50778AA6" w14:textId="150EE104" w:rsidR="00C634A7" w:rsidRPr="00541A4C" w:rsidRDefault="00C634A7" w:rsidP="00793CEC">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926"/>
      </w:tblGrid>
      <w:tr w:rsidR="00636202" w:rsidRPr="00541A4C" w14:paraId="5E66EABD" w14:textId="77777777" w:rsidTr="00666C88">
        <w:tc>
          <w:tcPr>
            <w:tcW w:w="9926" w:type="dxa"/>
            <w:shd w:val="clear" w:color="auto" w:fill="009193"/>
          </w:tcPr>
          <w:p w14:paraId="1C0DF46E" w14:textId="7FEA2A82" w:rsidR="00636202" w:rsidRPr="00541A4C" w:rsidRDefault="00C94A73" w:rsidP="00666C88">
            <w:pPr>
              <w:rPr>
                <w:b/>
                <w:bCs/>
              </w:rPr>
            </w:pPr>
            <w:r w:rsidRPr="00541A4C">
              <w:rPr>
                <w:rFonts w:eastAsia="Calibri"/>
                <w:b/>
                <w:bCs/>
                <w:color w:val="FFFFFF" w:themeColor="background1"/>
              </w:rPr>
              <w:t>1b</w:t>
            </w:r>
            <w:r w:rsidR="00636202" w:rsidRPr="00541A4C">
              <w:rPr>
                <w:rFonts w:eastAsia="Calibri"/>
                <w:b/>
                <w:bCs/>
                <w:color w:val="FFFFFF" w:themeColor="background1"/>
              </w:rPr>
              <w:t>. D</w:t>
            </w:r>
            <w:r w:rsidR="00CF2027" w:rsidRPr="00541A4C">
              <w:rPr>
                <w:rFonts w:eastAsia="Calibri"/>
                <w:b/>
                <w:bCs/>
                <w:color w:val="FFFFFF" w:themeColor="background1"/>
              </w:rPr>
              <w:t>epartment Priorities &amp; Goals</w:t>
            </w:r>
          </w:p>
        </w:tc>
      </w:tr>
      <w:tr w:rsidR="00636202" w:rsidRPr="00541A4C" w14:paraId="46C4E3CF" w14:textId="77777777" w:rsidTr="00666C88">
        <w:tc>
          <w:tcPr>
            <w:tcW w:w="9926" w:type="dxa"/>
          </w:tcPr>
          <w:p w14:paraId="2D483924" w14:textId="615B1A44" w:rsidR="00636202" w:rsidRPr="00541A4C" w:rsidRDefault="00636202" w:rsidP="00666C88">
            <w:pPr>
              <w:rPr>
                <w:rFonts w:eastAsiaTheme="minorEastAsia"/>
                <w:b/>
                <w:bCs/>
              </w:rPr>
            </w:pPr>
            <w:r w:rsidRPr="00541A4C">
              <w:t xml:space="preserve">Based on the </w:t>
            </w:r>
            <w:hyperlink r:id="rId16" w:history="1">
              <w:r w:rsidRPr="00541A4C">
                <w:rPr>
                  <w:rStyle w:val="Hyperlink"/>
                </w:rPr>
                <w:t>Vision for Success</w:t>
              </w:r>
            </w:hyperlink>
            <w:r w:rsidRPr="00541A4C">
              <w:t xml:space="preserve"> and </w:t>
            </w:r>
            <w:hyperlink r:id="rId17" w:history="1">
              <w:r w:rsidRPr="00541A4C">
                <w:rPr>
                  <w:rStyle w:val="Hyperlink"/>
                </w:rPr>
                <w:t>SCFF</w:t>
              </w:r>
            </w:hyperlink>
            <w:r w:rsidRPr="00541A4C">
              <w:t>, and your department mission, what are your department’s priorities and goals for 2022-23?</w:t>
            </w:r>
          </w:p>
        </w:tc>
      </w:tr>
      <w:tr w:rsidR="00636202" w:rsidRPr="00541A4C" w14:paraId="602F3B98" w14:textId="77777777" w:rsidTr="00666C88">
        <w:tc>
          <w:tcPr>
            <w:tcW w:w="9926" w:type="dxa"/>
            <w:shd w:val="clear" w:color="auto" w:fill="FFF2CC" w:themeFill="accent4" w:themeFillTint="33"/>
          </w:tcPr>
          <w:p w14:paraId="0A644BDA" w14:textId="5F9D9B44" w:rsidR="00636202" w:rsidRPr="00541A4C" w:rsidRDefault="00636202" w:rsidP="00666C88"/>
          <w:p w14:paraId="3C5A5EDD" w14:textId="752D1AA3" w:rsidR="006178BD" w:rsidRPr="00541A4C" w:rsidRDefault="006178BD" w:rsidP="00666C88">
            <w:r w:rsidRPr="00541A4C">
              <w:t xml:space="preserve">Priorities and goals </w:t>
            </w:r>
            <w:r w:rsidR="002A747A" w:rsidRPr="00541A4C">
              <w:t xml:space="preserve">of the program in Ethnic Studies </w:t>
            </w:r>
            <w:r w:rsidRPr="00541A4C">
              <w:t>include:</w:t>
            </w:r>
          </w:p>
          <w:p w14:paraId="34918666" w14:textId="72BEB84F" w:rsidR="006178BD" w:rsidRPr="00541A4C" w:rsidRDefault="002A747A" w:rsidP="00541A4C">
            <w:pPr>
              <w:pStyle w:val="ListParagraph"/>
              <w:numPr>
                <w:ilvl w:val="0"/>
                <w:numId w:val="44"/>
              </w:numPr>
              <w:rPr>
                <w:rFonts w:ascii="Times New Roman" w:hAnsi="Times New Roman" w:cs="Times New Roman"/>
                <w:sz w:val="24"/>
                <w:szCs w:val="24"/>
              </w:rPr>
            </w:pPr>
            <w:r w:rsidRPr="00541A4C">
              <w:rPr>
                <w:rFonts w:ascii="Times New Roman" w:hAnsi="Times New Roman" w:cs="Times New Roman"/>
                <w:sz w:val="24"/>
                <w:szCs w:val="24"/>
              </w:rPr>
              <w:t>Ensure</w:t>
            </w:r>
            <w:r w:rsidR="006178BD" w:rsidRPr="00541A4C">
              <w:rPr>
                <w:rFonts w:ascii="Times New Roman" w:hAnsi="Times New Roman" w:cs="Times New Roman"/>
                <w:sz w:val="24"/>
                <w:szCs w:val="24"/>
              </w:rPr>
              <w:t xml:space="preserve"> ETHST</w:t>
            </w:r>
            <w:r w:rsidRPr="00541A4C">
              <w:rPr>
                <w:rFonts w:ascii="Times New Roman" w:hAnsi="Times New Roman" w:cs="Times New Roman"/>
                <w:sz w:val="24"/>
                <w:szCs w:val="24"/>
              </w:rPr>
              <w:t xml:space="preserve"> </w:t>
            </w:r>
            <w:r w:rsidR="006178BD" w:rsidRPr="00541A4C">
              <w:rPr>
                <w:rFonts w:ascii="Times New Roman" w:hAnsi="Times New Roman" w:cs="Times New Roman"/>
                <w:sz w:val="24"/>
                <w:szCs w:val="24"/>
              </w:rPr>
              <w:t>+ classes</w:t>
            </w:r>
            <w:r w:rsidRPr="00541A4C">
              <w:rPr>
                <w:rFonts w:ascii="Times New Roman" w:hAnsi="Times New Roman" w:cs="Times New Roman"/>
                <w:sz w:val="24"/>
                <w:szCs w:val="24"/>
              </w:rPr>
              <w:t xml:space="preserve"> meet Area F transfer requirements</w:t>
            </w:r>
          </w:p>
          <w:p w14:paraId="3010645F" w14:textId="3142E164" w:rsidR="002A747A" w:rsidRPr="00541A4C" w:rsidRDefault="002A747A" w:rsidP="00541A4C">
            <w:pPr>
              <w:pStyle w:val="ListParagraph"/>
              <w:numPr>
                <w:ilvl w:val="0"/>
                <w:numId w:val="44"/>
              </w:numPr>
              <w:rPr>
                <w:rFonts w:ascii="Times New Roman" w:hAnsi="Times New Roman" w:cs="Times New Roman"/>
                <w:sz w:val="24"/>
                <w:szCs w:val="24"/>
              </w:rPr>
            </w:pPr>
            <w:r w:rsidRPr="00541A4C">
              <w:rPr>
                <w:rFonts w:ascii="Times New Roman" w:hAnsi="Times New Roman" w:cs="Times New Roman"/>
                <w:sz w:val="24"/>
                <w:szCs w:val="24"/>
              </w:rPr>
              <w:t xml:space="preserve">Expand course offerings in ETHST + </w:t>
            </w:r>
          </w:p>
          <w:p w14:paraId="6DCD9437" w14:textId="04291390" w:rsidR="002A747A" w:rsidRPr="00541A4C" w:rsidRDefault="002A747A" w:rsidP="00541A4C">
            <w:pPr>
              <w:pStyle w:val="ListParagraph"/>
              <w:numPr>
                <w:ilvl w:val="0"/>
                <w:numId w:val="44"/>
              </w:numPr>
              <w:rPr>
                <w:rFonts w:ascii="Times New Roman" w:hAnsi="Times New Roman" w:cs="Times New Roman"/>
                <w:sz w:val="24"/>
                <w:szCs w:val="24"/>
              </w:rPr>
            </w:pPr>
            <w:r w:rsidRPr="00541A4C">
              <w:rPr>
                <w:rFonts w:ascii="Times New Roman" w:hAnsi="Times New Roman" w:cs="Times New Roman"/>
                <w:sz w:val="24"/>
                <w:szCs w:val="24"/>
              </w:rPr>
              <w:t>Increase completion and transfer rates of students</w:t>
            </w:r>
          </w:p>
          <w:p w14:paraId="36E02340" w14:textId="41803FD9" w:rsidR="002A747A" w:rsidRPr="00541A4C" w:rsidRDefault="002A747A" w:rsidP="00541A4C">
            <w:pPr>
              <w:pStyle w:val="ListParagraph"/>
              <w:numPr>
                <w:ilvl w:val="0"/>
                <w:numId w:val="44"/>
              </w:numPr>
              <w:rPr>
                <w:rFonts w:ascii="Times New Roman" w:hAnsi="Times New Roman" w:cs="Times New Roman"/>
                <w:sz w:val="24"/>
                <w:szCs w:val="24"/>
              </w:rPr>
            </w:pPr>
            <w:r w:rsidRPr="00541A4C">
              <w:rPr>
                <w:rFonts w:ascii="Times New Roman" w:hAnsi="Times New Roman" w:cs="Times New Roman"/>
                <w:sz w:val="24"/>
                <w:szCs w:val="24"/>
              </w:rPr>
              <w:t>Build student-to-faculty mentor pipeline</w:t>
            </w:r>
          </w:p>
          <w:p w14:paraId="701E4DBB" w14:textId="7F1F707A" w:rsidR="00541A4C" w:rsidRPr="00541A4C" w:rsidRDefault="00541A4C" w:rsidP="00541A4C">
            <w:pPr>
              <w:pStyle w:val="ListParagraph"/>
              <w:numPr>
                <w:ilvl w:val="0"/>
                <w:numId w:val="44"/>
              </w:numPr>
              <w:rPr>
                <w:rFonts w:ascii="Times New Roman" w:hAnsi="Times New Roman" w:cs="Times New Roman"/>
                <w:sz w:val="24"/>
                <w:szCs w:val="24"/>
              </w:rPr>
            </w:pPr>
            <w:r w:rsidRPr="00541A4C">
              <w:rPr>
                <w:rFonts w:ascii="Times New Roman" w:hAnsi="Times New Roman" w:cs="Times New Roman"/>
                <w:sz w:val="24"/>
                <w:szCs w:val="24"/>
              </w:rPr>
              <w:t>Explore the possibility of offering a degree and/or certificate in ETHST+</w:t>
            </w:r>
          </w:p>
          <w:p w14:paraId="5C9529B9" w14:textId="5E63D60D" w:rsidR="002A747A" w:rsidRPr="00541A4C" w:rsidRDefault="002A747A" w:rsidP="00666C88"/>
          <w:p w14:paraId="37178DDC" w14:textId="77777777" w:rsidR="002A747A" w:rsidRPr="00541A4C" w:rsidRDefault="002A747A" w:rsidP="00666C88"/>
          <w:p w14:paraId="110A143A" w14:textId="77777777" w:rsidR="002A747A" w:rsidRPr="00541A4C" w:rsidRDefault="002A747A" w:rsidP="00666C88"/>
          <w:p w14:paraId="081CD840" w14:textId="77777777" w:rsidR="006178BD" w:rsidRPr="00541A4C" w:rsidRDefault="006178BD" w:rsidP="00666C88"/>
          <w:p w14:paraId="44BEA0E5" w14:textId="77777777" w:rsidR="00636202" w:rsidRPr="00541A4C" w:rsidRDefault="00636202" w:rsidP="00666C88"/>
        </w:tc>
      </w:tr>
    </w:tbl>
    <w:p w14:paraId="2DFE60E2" w14:textId="77777777" w:rsidR="008A7618" w:rsidRPr="00541A4C" w:rsidRDefault="008A7618" w:rsidP="008A7618">
      <w:pPr>
        <w:pStyle w:val="NoSpacing"/>
        <w:ind w:right="-90"/>
        <w:rPr>
          <w:rFonts w:ascii="Times New Roman" w:hAnsi="Times New Roman" w:cs="Times New Roman"/>
          <w:sz w:val="24"/>
          <w:szCs w:val="24"/>
        </w:rPr>
      </w:pPr>
    </w:p>
    <w:p w14:paraId="5D21AA1D" w14:textId="6F88006F" w:rsidR="005D4A63" w:rsidRPr="00541A4C" w:rsidRDefault="005D4A63" w:rsidP="438570C7"/>
    <w:p w14:paraId="4F85A3BA" w14:textId="54E6E4B8" w:rsidR="005D4A63" w:rsidRPr="00541A4C" w:rsidRDefault="005D4A63" w:rsidP="438570C7"/>
    <w:p w14:paraId="38E151FE" w14:textId="54E1A993" w:rsidR="005D4A63" w:rsidRPr="00541A4C" w:rsidRDefault="005D4A63" w:rsidP="438570C7"/>
    <w:p w14:paraId="0E37A06E" w14:textId="7498B6C1" w:rsidR="009979A6" w:rsidRPr="00541A4C" w:rsidRDefault="009979A6">
      <w:pPr>
        <w:spacing w:after="160" w:line="259" w:lineRule="auto"/>
        <w:rPr>
          <w:rFonts w:eastAsiaTheme="minorHAnsi"/>
        </w:rPr>
      </w:pPr>
      <w:r w:rsidRPr="00541A4C">
        <w:br w:type="page"/>
      </w:r>
    </w:p>
    <w:p w14:paraId="21A80D04" w14:textId="1137BAB2" w:rsidR="00EE3904" w:rsidRPr="00541A4C" w:rsidRDefault="00EE3904" w:rsidP="00EE3904">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926"/>
      </w:tblGrid>
      <w:tr w:rsidR="00D34063" w:rsidRPr="00541A4C" w14:paraId="0E27D2C7" w14:textId="77777777" w:rsidTr="000D087A">
        <w:tc>
          <w:tcPr>
            <w:tcW w:w="9926" w:type="dxa"/>
            <w:shd w:val="clear" w:color="auto" w:fill="009193"/>
          </w:tcPr>
          <w:p w14:paraId="780C6266" w14:textId="63FEDF4F" w:rsidR="00D34063" w:rsidRPr="00541A4C" w:rsidRDefault="00C94A73" w:rsidP="00D34063">
            <w:pPr>
              <w:pStyle w:val="NoSpacing"/>
              <w:ind w:left="422" w:hanging="422"/>
              <w:rPr>
                <w:rFonts w:ascii="Times New Roman" w:hAnsi="Times New Roman" w:cs="Times New Roman"/>
                <w:b/>
                <w:bCs/>
                <w:color w:val="FFFFFF" w:themeColor="background1"/>
                <w:sz w:val="24"/>
                <w:szCs w:val="24"/>
              </w:rPr>
            </w:pPr>
            <w:r w:rsidRPr="00541A4C">
              <w:rPr>
                <w:rFonts w:ascii="Times New Roman" w:hAnsi="Times New Roman" w:cs="Times New Roman"/>
                <w:b/>
                <w:bCs/>
                <w:color w:val="FFFFFF" w:themeColor="background1"/>
                <w:sz w:val="24"/>
                <w:szCs w:val="24"/>
              </w:rPr>
              <w:t>2</w:t>
            </w:r>
            <w:commentRangeStart w:id="0"/>
            <w:r w:rsidR="00D34063" w:rsidRPr="00541A4C">
              <w:rPr>
                <w:rFonts w:ascii="Times New Roman" w:hAnsi="Times New Roman" w:cs="Times New Roman"/>
                <w:b/>
                <w:bCs/>
                <w:color w:val="FFFFFF" w:themeColor="background1"/>
                <w:sz w:val="24"/>
                <w:szCs w:val="24"/>
              </w:rPr>
              <w:t>.</w:t>
            </w:r>
            <w:r w:rsidR="00D34063" w:rsidRPr="00541A4C">
              <w:rPr>
                <w:rFonts w:ascii="Times New Roman" w:hAnsi="Times New Roman" w:cs="Times New Roman"/>
                <w:b/>
                <w:bCs/>
                <w:color w:val="FFFFFF" w:themeColor="background1"/>
                <w:sz w:val="24"/>
                <w:szCs w:val="24"/>
              </w:rPr>
              <w:tab/>
            </w:r>
            <w:hyperlink r:id="rId18" w:history="1">
              <w:r w:rsidR="00D34063" w:rsidRPr="00541A4C">
                <w:rPr>
                  <w:rStyle w:val="Hyperlink"/>
                  <w:rFonts w:ascii="Times New Roman" w:hAnsi="Times New Roman" w:cs="Times New Roman"/>
                  <w:b/>
                  <w:bCs/>
                  <w:color w:val="FFFFFF" w:themeColor="background1"/>
                  <w:sz w:val="24"/>
                  <w:szCs w:val="24"/>
                </w:rPr>
                <w:t>S</w:t>
              </w:r>
              <w:r w:rsidR="00CF2027" w:rsidRPr="00541A4C">
                <w:rPr>
                  <w:rStyle w:val="Hyperlink"/>
                  <w:rFonts w:ascii="Times New Roman" w:hAnsi="Times New Roman" w:cs="Times New Roman"/>
                  <w:b/>
                  <w:bCs/>
                  <w:color w:val="FFFFFF" w:themeColor="background1"/>
                  <w:sz w:val="24"/>
                  <w:szCs w:val="24"/>
                </w:rPr>
                <w:t>tudent Equity, Success, &amp; Completion</w:t>
              </w:r>
            </w:hyperlink>
            <w:commentRangeEnd w:id="0"/>
            <w:r w:rsidR="00BF543C" w:rsidRPr="00541A4C">
              <w:rPr>
                <w:rStyle w:val="CommentReference"/>
                <w:rFonts w:ascii="Times New Roman" w:eastAsia="Times New Roman" w:hAnsi="Times New Roman" w:cs="Times New Roman"/>
                <w:color w:val="FFFFFF" w:themeColor="background1"/>
                <w:sz w:val="24"/>
                <w:szCs w:val="24"/>
              </w:rPr>
              <w:commentReference w:id="0"/>
            </w:r>
          </w:p>
        </w:tc>
      </w:tr>
      <w:tr w:rsidR="00D34063" w:rsidRPr="00541A4C" w14:paraId="79AB959E" w14:textId="77777777" w:rsidTr="00E35ADB">
        <w:tc>
          <w:tcPr>
            <w:tcW w:w="9926" w:type="dxa"/>
            <w:shd w:val="clear" w:color="auto" w:fill="auto"/>
          </w:tcPr>
          <w:p w14:paraId="743063B9" w14:textId="6A16BCF1" w:rsidR="00BF543C" w:rsidRPr="00541A4C" w:rsidRDefault="00D34063" w:rsidP="00D34063">
            <w:pPr>
              <w:pStyle w:val="NoSpacing"/>
              <w:rPr>
                <w:rFonts w:ascii="Times New Roman" w:hAnsi="Times New Roman" w:cs="Times New Roman"/>
                <w:b/>
                <w:bCs/>
                <w:sz w:val="24"/>
                <w:szCs w:val="24"/>
              </w:rPr>
            </w:pPr>
            <w:r w:rsidRPr="00541A4C">
              <w:rPr>
                <w:rFonts w:ascii="Times New Roman" w:hAnsi="Times New Roman" w:cs="Times New Roman"/>
                <w:b/>
                <w:bCs/>
                <w:sz w:val="24"/>
                <w:szCs w:val="24"/>
              </w:rPr>
              <w:t>Using the data dashboards provided below, review and reflect upon the outcome trends for your department.</w:t>
            </w:r>
            <w:r w:rsidR="001164BF" w:rsidRPr="00541A4C">
              <w:rPr>
                <w:rFonts w:ascii="Times New Roman" w:hAnsi="Times New Roman" w:cs="Times New Roman"/>
                <w:b/>
                <w:bCs/>
                <w:sz w:val="24"/>
                <w:szCs w:val="24"/>
              </w:rPr>
              <w:t xml:space="preserve">  </w:t>
            </w:r>
            <w:r w:rsidR="00BF543C" w:rsidRPr="00541A4C">
              <w:rPr>
                <w:rFonts w:ascii="Times New Roman" w:hAnsi="Times New Roman" w:cs="Times New Roman"/>
                <w:b/>
                <w:bCs/>
                <w:sz w:val="24"/>
                <w:szCs w:val="24"/>
              </w:rPr>
              <w:t xml:space="preserve">Please also review overall BCC’s data linked here. </w:t>
            </w:r>
          </w:p>
          <w:p w14:paraId="3625F721" w14:textId="156722D6" w:rsidR="00890089" w:rsidRPr="00541A4C" w:rsidRDefault="00890089" w:rsidP="00D34063">
            <w:pPr>
              <w:pStyle w:val="NoSpacing"/>
              <w:rPr>
                <w:rFonts w:ascii="Times New Roman" w:hAnsi="Times New Roman" w:cs="Times New Roman"/>
                <w:sz w:val="24"/>
                <w:szCs w:val="24"/>
              </w:rPr>
            </w:pPr>
          </w:p>
          <w:p w14:paraId="30B01DA5" w14:textId="1CCD8E67" w:rsidR="00890089" w:rsidRPr="00541A4C" w:rsidRDefault="00890089" w:rsidP="00D34063">
            <w:pPr>
              <w:pStyle w:val="NoSpacing"/>
              <w:rPr>
                <w:rFonts w:ascii="Times New Roman" w:hAnsi="Times New Roman" w:cs="Times New Roman"/>
                <w:sz w:val="24"/>
                <w:szCs w:val="24"/>
              </w:rPr>
            </w:pPr>
            <w:r w:rsidRPr="00541A4C">
              <w:rPr>
                <w:rFonts w:ascii="Times New Roman" w:hAnsi="Times New Roman" w:cs="Times New Roman"/>
                <w:noProof/>
                <w:sz w:val="24"/>
                <w:szCs w:val="24"/>
              </w:rPr>
              <w:drawing>
                <wp:inline distT="0" distB="0" distL="0" distR="0" wp14:anchorId="14DCC2B6" wp14:editId="19784964">
                  <wp:extent cx="6158345" cy="2843085"/>
                  <wp:effectExtent l="0" t="0" r="127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310280" cy="2913228"/>
                          </a:xfrm>
                          <a:prstGeom prst="rect">
                            <a:avLst/>
                          </a:prstGeom>
                        </pic:spPr>
                      </pic:pic>
                    </a:graphicData>
                  </a:graphic>
                </wp:inline>
              </w:drawing>
            </w:r>
          </w:p>
          <w:p w14:paraId="47055EC2" w14:textId="4D4F4B64" w:rsidR="00890089" w:rsidRPr="00541A4C" w:rsidRDefault="00890089" w:rsidP="00D34063">
            <w:pPr>
              <w:pStyle w:val="NoSpacing"/>
              <w:rPr>
                <w:rFonts w:ascii="Times New Roman" w:hAnsi="Times New Roman" w:cs="Times New Roman"/>
                <w:sz w:val="24"/>
                <w:szCs w:val="24"/>
              </w:rPr>
            </w:pPr>
          </w:p>
          <w:p w14:paraId="28CDC92D" w14:textId="250177C2" w:rsidR="00D34063" w:rsidRPr="00541A4C" w:rsidRDefault="00D34063" w:rsidP="00D34063">
            <w:pPr>
              <w:pStyle w:val="NoSpacing"/>
              <w:rPr>
                <w:rFonts w:ascii="Times New Roman" w:hAnsi="Times New Roman" w:cs="Times New Roman"/>
                <w:sz w:val="24"/>
                <w:szCs w:val="24"/>
              </w:rPr>
            </w:pPr>
            <w:r w:rsidRPr="00541A4C">
              <w:rPr>
                <w:rFonts w:ascii="Times New Roman" w:hAnsi="Times New Roman" w:cs="Times New Roman"/>
                <w:sz w:val="24"/>
                <w:szCs w:val="24"/>
              </w:rPr>
              <w:t xml:space="preserve">For assistance with data dashboards, contact Phoumy Sayavong at </w:t>
            </w:r>
            <w:hyperlink r:id="rId23" w:history="1">
              <w:r w:rsidRPr="00541A4C">
                <w:rPr>
                  <w:rStyle w:val="Hyperlink"/>
                  <w:rFonts w:ascii="Times New Roman" w:hAnsi="Times New Roman" w:cs="Times New Roman"/>
                  <w:sz w:val="24"/>
                  <w:szCs w:val="24"/>
                </w:rPr>
                <w:t>psayavong@peralta.edu</w:t>
              </w:r>
            </w:hyperlink>
          </w:p>
        </w:tc>
      </w:tr>
      <w:tr w:rsidR="009B18A6" w:rsidRPr="00541A4C" w14:paraId="753CD758" w14:textId="77777777" w:rsidTr="00E35ADB">
        <w:tc>
          <w:tcPr>
            <w:tcW w:w="9926" w:type="dxa"/>
            <w:shd w:val="clear" w:color="auto" w:fill="auto"/>
          </w:tcPr>
          <w:p w14:paraId="5E6C210D" w14:textId="5BB143D5" w:rsidR="009B18A6" w:rsidRPr="00541A4C" w:rsidRDefault="009B18A6" w:rsidP="00D34063">
            <w:pPr>
              <w:pStyle w:val="NoSpacing"/>
              <w:rPr>
                <w:rFonts w:ascii="Times New Roman" w:hAnsi="Times New Roman" w:cs="Times New Roman"/>
                <w:b/>
                <w:bCs/>
                <w:sz w:val="24"/>
                <w:szCs w:val="24"/>
              </w:rPr>
            </w:pPr>
            <w:r w:rsidRPr="00541A4C">
              <w:rPr>
                <w:rFonts w:ascii="Times New Roman" w:hAnsi="Times New Roman" w:cs="Times New Roman"/>
                <w:b/>
                <w:bCs/>
                <w:sz w:val="24"/>
                <w:szCs w:val="24"/>
              </w:rPr>
              <w:t>How are students doing in success and completion in your department</w:t>
            </w:r>
            <w:r w:rsidR="00F904E1" w:rsidRPr="00541A4C">
              <w:rPr>
                <w:rFonts w:ascii="Times New Roman" w:hAnsi="Times New Roman" w:cs="Times New Roman"/>
                <w:b/>
                <w:bCs/>
                <w:sz w:val="24"/>
                <w:szCs w:val="24"/>
              </w:rPr>
              <w:t xml:space="preserve">, compared </w:t>
            </w:r>
            <w:r w:rsidRPr="00541A4C">
              <w:rPr>
                <w:rFonts w:ascii="Times New Roman" w:hAnsi="Times New Roman" w:cs="Times New Roman"/>
                <w:b/>
                <w:bCs/>
                <w:sz w:val="24"/>
                <w:szCs w:val="24"/>
              </w:rPr>
              <w:t>to the BCC overall success and completion rate</w:t>
            </w:r>
            <w:r w:rsidR="00F904E1" w:rsidRPr="00541A4C">
              <w:rPr>
                <w:rFonts w:ascii="Times New Roman" w:hAnsi="Times New Roman" w:cs="Times New Roman"/>
                <w:b/>
                <w:bCs/>
                <w:sz w:val="24"/>
                <w:szCs w:val="24"/>
              </w:rPr>
              <w:t xml:space="preserve">?  </w:t>
            </w:r>
            <w:r w:rsidRPr="00541A4C">
              <w:rPr>
                <w:rFonts w:ascii="Times New Roman" w:hAnsi="Times New Roman" w:cs="Times New Roman"/>
                <w:b/>
                <w:bCs/>
                <w:sz w:val="24"/>
                <w:szCs w:val="24"/>
              </w:rPr>
              <w:t>What are the group of students that need more attention to achieve goals?</w:t>
            </w:r>
          </w:p>
        </w:tc>
      </w:tr>
      <w:tr w:rsidR="009B18A6" w:rsidRPr="00541A4C" w14:paraId="7F4760A8" w14:textId="77777777" w:rsidTr="00E35ADB">
        <w:tc>
          <w:tcPr>
            <w:tcW w:w="9926" w:type="dxa"/>
            <w:shd w:val="clear" w:color="auto" w:fill="FFF2CC" w:themeFill="accent4" w:themeFillTint="33"/>
          </w:tcPr>
          <w:p w14:paraId="6C9CB12A" w14:textId="6074C98E" w:rsidR="009B18A6" w:rsidRPr="00541A4C" w:rsidRDefault="002A747A" w:rsidP="00D34063">
            <w:pPr>
              <w:pStyle w:val="NoSpacing"/>
              <w:rPr>
                <w:rFonts w:ascii="Times New Roman" w:hAnsi="Times New Roman" w:cs="Times New Roman"/>
                <w:sz w:val="24"/>
                <w:szCs w:val="24"/>
              </w:rPr>
            </w:pPr>
            <w:r w:rsidRPr="00541A4C">
              <w:rPr>
                <w:rFonts w:ascii="Times New Roman" w:hAnsi="Times New Roman" w:cs="Times New Roman"/>
                <w:sz w:val="24"/>
                <w:szCs w:val="24"/>
              </w:rPr>
              <w:t>Enrollment and productivity</w:t>
            </w:r>
            <w:r w:rsidR="00F20341" w:rsidRPr="00541A4C">
              <w:rPr>
                <w:rFonts w:ascii="Times New Roman" w:hAnsi="Times New Roman" w:cs="Times New Roman"/>
                <w:sz w:val="24"/>
                <w:szCs w:val="24"/>
              </w:rPr>
              <w:t xml:space="preserve"> across ETHST </w:t>
            </w:r>
            <w:proofErr w:type="gramStart"/>
            <w:r w:rsidR="00F20341" w:rsidRPr="00541A4C">
              <w:rPr>
                <w:rFonts w:ascii="Times New Roman" w:hAnsi="Times New Roman" w:cs="Times New Roman"/>
                <w:sz w:val="24"/>
                <w:szCs w:val="24"/>
              </w:rPr>
              <w:t xml:space="preserve">+ </w:t>
            </w:r>
            <w:r w:rsidRPr="00541A4C">
              <w:rPr>
                <w:rFonts w:ascii="Times New Roman" w:hAnsi="Times New Roman" w:cs="Times New Roman"/>
                <w:sz w:val="24"/>
                <w:szCs w:val="24"/>
              </w:rPr>
              <w:t xml:space="preserve"> dropped</w:t>
            </w:r>
            <w:proofErr w:type="gramEnd"/>
            <w:r w:rsidRPr="00541A4C">
              <w:rPr>
                <w:rFonts w:ascii="Times New Roman" w:hAnsi="Times New Roman" w:cs="Times New Roman"/>
                <w:sz w:val="24"/>
                <w:szCs w:val="24"/>
              </w:rPr>
              <w:t xml:space="preserve"> </w:t>
            </w:r>
            <w:r w:rsidR="00F20341" w:rsidRPr="00541A4C">
              <w:rPr>
                <w:rFonts w:ascii="Times New Roman" w:hAnsi="Times New Roman" w:cs="Times New Roman"/>
                <w:sz w:val="24"/>
                <w:szCs w:val="24"/>
              </w:rPr>
              <w:t xml:space="preserve">year-to-year from 2020-2021 to 2021-2022. It should be noted that this coincided with the COVID 19 pandemic. </w:t>
            </w:r>
          </w:p>
          <w:p w14:paraId="6A715686" w14:textId="1C26D030" w:rsidR="00F20341" w:rsidRPr="00541A4C" w:rsidRDefault="00F20341" w:rsidP="00D34063">
            <w:pPr>
              <w:pStyle w:val="NoSpacing"/>
              <w:rPr>
                <w:rFonts w:ascii="Times New Roman" w:hAnsi="Times New Roman" w:cs="Times New Roman"/>
                <w:sz w:val="24"/>
                <w:szCs w:val="24"/>
              </w:rPr>
            </w:pPr>
            <w:r w:rsidRPr="00541A4C">
              <w:rPr>
                <w:rFonts w:ascii="Times New Roman" w:hAnsi="Times New Roman" w:cs="Times New Roman"/>
                <w:sz w:val="24"/>
                <w:szCs w:val="24"/>
              </w:rPr>
              <w:t>Enrollment went from 456 to 396 students, and productivity went from 15.2 to 13.3 during this time.</w:t>
            </w:r>
          </w:p>
          <w:p w14:paraId="180D80C1" w14:textId="7B6531F6" w:rsidR="00F20341" w:rsidRPr="00541A4C" w:rsidRDefault="00F20341" w:rsidP="00D34063">
            <w:pPr>
              <w:pStyle w:val="NoSpacing"/>
              <w:rPr>
                <w:rFonts w:ascii="Times New Roman" w:hAnsi="Times New Roman" w:cs="Times New Roman"/>
                <w:sz w:val="24"/>
                <w:szCs w:val="24"/>
              </w:rPr>
            </w:pPr>
          </w:p>
          <w:p w14:paraId="432A493B" w14:textId="20D88105" w:rsidR="003867CF" w:rsidRPr="00541A4C" w:rsidRDefault="00F20341" w:rsidP="00D34063">
            <w:pPr>
              <w:pStyle w:val="NoSpacing"/>
              <w:rPr>
                <w:rFonts w:ascii="Times New Roman" w:hAnsi="Times New Roman" w:cs="Times New Roman"/>
                <w:sz w:val="24"/>
                <w:szCs w:val="24"/>
              </w:rPr>
            </w:pPr>
            <w:r w:rsidRPr="00541A4C">
              <w:rPr>
                <w:rFonts w:ascii="Times New Roman" w:hAnsi="Times New Roman" w:cs="Times New Roman"/>
                <w:sz w:val="24"/>
                <w:szCs w:val="24"/>
              </w:rPr>
              <w:t xml:space="preserve">Curiously, when we aggregate the data by discipline, we find that students taking classes in African American Studies experienced the greatest drop in productivity, from 16.2 to 11.8, as the enrollment declined, from 162 to 118. </w:t>
            </w:r>
            <w:r w:rsidR="003867CF" w:rsidRPr="00541A4C">
              <w:rPr>
                <w:rFonts w:ascii="Times New Roman" w:hAnsi="Times New Roman" w:cs="Times New Roman"/>
                <w:sz w:val="24"/>
                <w:szCs w:val="24"/>
              </w:rPr>
              <w:t xml:space="preserve">Ethnic Studies, and Mexican and Latin American Studies enrollment and productivity also followed these trends, with enrollment going from 185 to 156 and 30 to 28, and productivity dropping from 15.4 to 13.0 and from 15.0 to 14.0, in ETHST and MLAT, respectively. </w:t>
            </w:r>
          </w:p>
          <w:p w14:paraId="47D75DEB" w14:textId="5E2E4912" w:rsidR="00F20341" w:rsidRPr="00541A4C" w:rsidRDefault="00F20341" w:rsidP="00D34063">
            <w:pPr>
              <w:pStyle w:val="NoSpacing"/>
              <w:rPr>
                <w:rFonts w:ascii="Times New Roman" w:hAnsi="Times New Roman" w:cs="Times New Roman"/>
                <w:sz w:val="24"/>
                <w:szCs w:val="24"/>
              </w:rPr>
            </w:pPr>
            <w:r w:rsidRPr="00541A4C">
              <w:rPr>
                <w:rFonts w:ascii="Times New Roman" w:hAnsi="Times New Roman" w:cs="Times New Roman"/>
                <w:sz w:val="24"/>
                <w:szCs w:val="24"/>
              </w:rPr>
              <w:t>In contrast, students taking Asian American Studies increased, from 79 to 96, as the productivity also grew, from 13.2 to 16.0.</w:t>
            </w:r>
          </w:p>
          <w:p w14:paraId="30B626CF" w14:textId="77777777" w:rsidR="00060181" w:rsidRPr="00541A4C" w:rsidRDefault="00060181" w:rsidP="00D34063">
            <w:pPr>
              <w:pStyle w:val="NoSpacing"/>
              <w:rPr>
                <w:rFonts w:ascii="Times New Roman" w:hAnsi="Times New Roman" w:cs="Times New Roman"/>
                <w:sz w:val="24"/>
                <w:szCs w:val="24"/>
              </w:rPr>
            </w:pPr>
          </w:p>
          <w:p w14:paraId="35305883" w14:textId="75325B8D" w:rsidR="00060181" w:rsidRPr="00541A4C" w:rsidRDefault="00D616EB" w:rsidP="00D34063">
            <w:pPr>
              <w:pStyle w:val="NoSpacing"/>
              <w:rPr>
                <w:rFonts w:ascii="Times New Roman" w:hAnsi="Times New Roman" w:cs="Times New Roman"/>
                <w:sz w:val="24"/>
                <w:szCs w:val="24"/>
              </w:rPr>
            </w:pPr>
            <w:r w:rsidRPr="00541A4C">
              <w:rPr>
                <w:rFonts w:ascii="Times New Roman" w:hAnsi="Times New Roman" w:cs="Times New Roman"/>
                <w:sz w:val="24"/>
                <w:szCs w:val="24"/>
              </w:rPr>
              <w:t>Overall, student</w:t>
            </w:r>
            <w:r w:rsidR="00015F05" w:rsidRPr="00541A4C">
              <w:rPr>
                <w:rFonts w:ascii="Times New Roman" w:hAnsi="Times New Roman" w:cs="Times New Roman"/>
                <w:sz w:val="24"/>
                <w:szCs w:val="24"/>
              </w:rPr>
              <w:t xml:space="preserve"> completion at 68.6% and retention at 80.7% in ETHST </w:t>
            </w:r>
            <w:proofErr w:type="gramStart"/>
            <w:r w:rsidR="00015F05" w:rsidRPr="00541A4C">
              <w:rPr>
                <w:rFonts w:ascii="Times New Roman" w:hAnsi="Times New Roman" w:cs="Times New Roman"/>
                <w:sz w:val="24"/>
                <w:szCs w:val="24"/>
              </w:rPr>
              <w:t>+  are</w:t>
            </w:r>
            <w:proofErr w:type="gramEnd"/>
            <w:r w:rsidR="00015F05" w:rsidRPr="00541A4C">
              <w:rPr>
                <w:rFonts w:ascii="Times New Roman" w:hAnsi="Times New Roman" w:cs="Times New Roman"/>
                <w:sz w:val="24"/>
                <w:szCs w:val="24"/>
              </w:rPr>
              <w:t xml:space="preserve"> slightly better than the </w:t>
            </w:r>
          </w:p>
          <w:p w14:paraId="39D86766" w14:textId="5225C3AB" w:rsidR="00015F05" w:rsidRPr="00541A4C" w:rsidRDefault="00015F05" w:rsidP="00D34063">
            <w:pPr>
              <w:pStyle w:val="NoSpacing"/>
              <w:rPr>
                <w:rFonts w:ascii="Times New Roman" w:hAnsi="Times New Roman" w:cs="Times New Roman"/>
                <w:sz w:val="24"/>
                <w:szCs w:val="24"/>
              </w:rPr>
            </w:pPr>
            <w:r w:rsidRPr="00541A4C">
              <w:rPr>
                <w:rFonts w:ascii="Times New Roman" w:hAnsi="Times New Roman" w:cs="Times New Roman"/>
                <w:sz w:val="24"/>
                <w:szCs w:val="24"/>
              </w:rPr>
              <w:t>average completion of 68.0% and retention of 84.3% at Berkeley City College.</w:t>
            </w:r>
            <w:r w:rsidR="00F04275" w:rsidRPr="00541A4C">
              <w:rPr>
                <w:rFonts w:ascii="Times New Roman" w:hAnsi="Times New Roman" w:cs="Times New Roman"/>
                <w:sz w:val="24"/>
                <w:szCs w:val="24"/>
              </w:rPr>
              <w:t xml:space="preserve"> We did examine completion and retention on a year by year basis across ethnic groups, across gender, and by age. As per college trends overall, the majority of our students fall into the 19-24 cohort, with the second largest number comprised of </w:t>
            </w:r>
            <w:proofErr w:type="gramStart"/>
            <w:r w:rsidR="00F04275" w:rsidRPr="00541A4C">
              <w:rPr>
                <w:rFonts w:ascii="Times New Roman" w:hAnsi="Times New Roman" w:cs="Times New Roman"/>
                <w:sz w:val="24"/>
                <w:szCs w:val="24"/>
              </w:rPr>
              <w:t>16-18 year</w:t>
            </w:r>
            <w:proofErr w:type="gramEnd"/>
            <w:r w:rsidR="00F04275" w:rsidRPr="00541A4C">
              <w:rPr>
                <w:rFonts w:ascii="Times New Roman" w:hAnsi="Times New Roman" w:cs="Times New Roman"/>
                <w:sz w:val="24"/>
                <w:szCs w:val="24"/>
              </w:rPr>
              <w:t xml:space="preserve"> </w:t>
            </w:r>
            <w:proofErr w:type="spellStart"/>
            <w:r w:rsidR="00F04275" w:rsidRPr="00541A4C">
              <w:rPr>
                <w:rFonts w:ascii="Times New Roman" w:hAnsi="Times New Roman" w:cs="Times New Roman"/>
                <w:sz w:val="24"/>
                <w:szCs w:val="24"/>
              </w:rPr>
              <w:t>olds</w:t>
            </w:r>
            <w:proofErr w:type="spellEnd"/>
            <w:r w:rsidR="00326C73">
              <w:rPr>
                <w:rFonts w:ascii="Times New Roman" w:hAnsi="Times New Roman" w:cs="Times New Roman"/>
                <w:sz w:val="24"/>
                <w:szCs w:val="24"/>
              </w:rPr>
              <w:t xml:space="preserve">. </w:t>
            </w:r>
            <w:r w:rsidR="00F04275" w:rsidRPr="00541A4C">
              <w:rPr>
                <w:rFonts w:ascii="Times New Roman" w:hAnsi="Times New Roman" w:cs="Times New Roman"/>
                <w:sz w:val="24"/>
                <w:szCs w:val="24"/>
              </w:rPr>
              <w:t xml:space="preserve">While overall enrollment and the concomitant completion and retention rates trended downward. However, white students as a group increased </w:t>
            </w:r>
            <w:r w:rsidR="00F04275" w:rsidRPr="00541A4C">
              <w:rPr>
                <w:rFonts w:ascii="Times New Roman" w:hAnsi="Times New Roman" w:cs="Times New Roman"/>
                <w:sz w:val="24"/>
                <w:szCs w:val="24"/>
              </w:rPr>
              <w:lastRenderedPageBreak/>
              <w:t>their enrollment across the Ethnic Studies program, jumping from 35 to 56, yet their completion and retention rates both fell by a considerable percentage over the three years, from 66.7% and 84.8% completion and retention during the 2019-2020 academic year, to 45.6% and 60.7% in 2021-2022.</w:t>
            </w:r>
          </w:p>
          <w:p w14:paraId="605E5207" w14:textId="27EF397E" w:rsidR="00015F05" w:rsidRPr="00541A4C" w:rsidRDefault="00015F05" w:rsidP="00D34063">
            <w:pPr>
              <w:pStyle w:val="NoSpacing"/>
              <w:rPr>
                <w:rFonts w:ascii="Times New Roman" w:hAnsi="Times New Roman" w:cs="Times New Roman"/>
                <w:sz w:val="24"/>
                <w:szCs w:val="24"/>
              </w:rPr>
            </w:pPr>
          </w:p>
          <w:p w14:paraId="1F7D67A0" w14:textId="77777777" w:rsidR="00015F05" w:rsidRPr="00541A4C" w:rsidRDefault="00015F05" w:rsidP="00D34063">
            <w:pPr>
              <w:pStyle w:val="NoSpacing"/>
              <w:rPr>
                <w:rFonts w:ascii="Times New Roman" w:hAnsi="Times New Roman" w:cs="Times New Roman"/>
                <w:sz w:val="24"/>
                <w:szCs w:val="24"/>
              </w:rPr>
            </w:pPr>
          </w:p>
          <w:p w14:paraId="3AC3A96C" w14:textId="3CCF026C" w:rsidR="009B18A6" w:rsidRPr="00541A4C" w:rsidRDefault="009B18A6" w:rsidP="00060181">
            <w:pPr>
              <w:pStyle w:val="NoSpacing"/>
              <w:rPr>
                <w:rFonts w:ascii="Times New Roman" w:hAnsi="Times New Roman" w:cs="Times New Roman"/>
                <w:sz w:val="24"/>
                <w:szCs w:val="24"/>
              </w:rPr>
            </w:pPr>
          </w:p>
        </w:tc>
      </w:tr>
      <w:tr w:rsidR="009B18A6" w:rsidRPr="00541A4C" w14:paraId="1BC445BF" w14:textId="77777777" w:rsidTr="00E35ADB">
        <w:tc>
          <w:tcPr>
            <w:tcW w:w="9926" w:type="dxa"/>
            <w:shd w:val="clear" w:color="auto" w:fill="auto"/>
          </w:tcPr>
          <w:p w14:paraId="05C96F6C" w14:textId="4D7076E1" w:rsidR="009B18A6" w:rsidRPr="00541A4C" w:rsidRDefault="009B18A6" w:rsidP="009B18A6">
            <w:pPr>
              <w:pStyle w:val="NoSpacing"/>
              <w:rPr>
                <w:rFonts w:ascii="Times New Roman" w:hAnsi="Times New Roman" w:cs="Times New Roman"/>
                <w:b/>
                <w:bCs/>
                <w:sz w:val="24"/>
                <w:szCs w:val="24"/>
              </w:rPr>
            </w:pPr>
            <w:r w:rsidRPr="00541A4C">
              <w:rPr>
                <w:rFonts w:ascii="Times New Roman" w:hAnsi="Times New Roman" w:cs="Times New Roman"/>
                <w:b/>
                <w:bCs/>
                <w:sz w:val="24"/>
                <w:szCs w:val="24"/>
              </w:rPr>
              <w:lastRenderedPageBreak/>
              <w:t>What do you see as key factors in your department that contributed to positive success and completion rate?</w:t>
            </w:r>
          </w:p>
        </w:tc>
      </w:tr>
      <w:tr w:rsidR="009B18A6" w:rsidRPr="00541A4C" w14:paraId="0075DB08" w14:textId="77777777" w:rsidTr="00E35ADB">
        <w:tc>
          <w:tcPr>
            <w:tcW w:w="9926" w:type="dxa"/>
            <w:shd w:val="clear" w:color="auto" w:fill="FFF2CC" w:themeFill="accent4" w:themeFillTint="33"/>
          </w:tcPr>
          <w:p w14:paraId="625E3A82" w14:textId="77777777" w:rsidR="00541A4C" w:rsidRDefault="000D54BB" w:rsidP="000D54BB">
            <w:pPr>
              <w:pStyle w:val="NoSpacing"/>
              <w:rPr>
                <w:rFonts w:ascii="Times New Roman" w:hAnsi="Times New Roman" w:cs="Times New Roman"/>
                <w:color w:val="000000"/>
                <w:spacing w:val="-5"/>
                <w:sz w:val="24"/>
                <w:szCs w:val="24"/>
              </w:rPr>
            </w:pPr>
            <w:r w:rsidRPr="00541A4C">
              <w:rPr>
                <w:rFonts w:ascii="Times New Roman" w:hAnsi="Times New Roman" w:cs="Times New Roman"/>
                <w:color w:val="000000"/>
                <w:spacing w:val="-5"/>
                <w:sz w:val="24"/>
                <w:szCs w:val="24"/>
              </w:rPr>
              <w:t xml:space="preserve">Current research (Dee &amp; Penner, 2017) points to the importance of a culturally-relevant ethnic studies curriculum in supporting students, in particular students-of-color. As Berkeley City College is a majority ‘minority’ campus, it stands to reason that our students benefit from the coursework and instructors who reflect their experiences and communities. </w:t>
            </w:r>
          </w:p>
          <w:p w14:paraId="5997F68A" w14:textId="77777777" w:rsidR="00541A4C" w:rsidRDefault="00541A4C" w:rsidP="000D54BB">
            <w:pPr>
              <w:pStyle w:val="NoSpacing"/>
              <w:rPr>
                <w:rFonts w:ascii="Times New Roman" w:hAnsi="Times New Roman" w:cs="Times New Roman"/>
                <w:color w:val="000000"/>
                <w:spacing w:val="-5"/>
                <w:sz w:val="24"/>
                <w:szCs w:val="24"/>
              </w:rPr>
            </w:pPr>
          </w:p>
          <w:p w14:paraId="048065D0" w14:textId="0A40703E" w:rsidR="009B18A6" w:rsidRDefault="000D54BB" w:rsidP="000D54BB">
            <w:pPr>
              <w:pStyle w:val="NoSpacing"/>
              <w:rPr>
                <w:rFonts w:ascii="Times New Roman" w:hAnsi="Times New Roman" w:cs="Times New Roman"/>
                <w:color w:val="000000"/>
                <w:spacing w:val="-5"/>
                <w:sz w:val="24"/>
                <w:szCs w:val="24"/>
              </w:rPr>
            </w:pPr>
            <w:r w:rsidRPr="00541A4C">
              <w:rPr>
                <w:rFonts w:ascii="Times New Roman" w:hAnsi="Times New Roman" w:cs="Times New Roman"/>
                <w:color w:val="000000"/>
                <w:spacing w:val="-5"/>
                <w:sz w:val="24"/>
                <w:szCs w:val="24"/>
              </w:rPr>
              <w:t xml:space="preserve">See Dee, T. S., &amp; Penner, E. K. (2017). The Causal Effects of Cultural Relevance: Evidence </w:t>
            </w:r>
            <w:r w:rsidR="00326C73">
              <w:rPr>
                <w:rFonts w:ascii="Times New Roman" w:hAnsi="Times New Roman" w:cs="Times New Roman"/>
                <w:color w:val="000000"/>
                <w:spacing w:val="-5"/>
                <w:sz w:val="24"/>
                <w:szCs w:val="24"/>
              </w:rPr>
              <w:t>f</w:t>
            </w:r>
            <w:r w:rsidRPr="00541A4C">
              <w:rPr>
                <w:rFonts w:ascii="Times New Roman" w:hAnsi="Times New Roman" w:cs="Times New Roman"/>
                <w:color w:val="000000"/>
                <w:spacing w:val="-5"/>
                <w:sz w:val="24"/>
                <w:szCs w:val="24"/>
              </w:rPr>
              <w:t>rom an Ethnic Studies Curriculum. </w:t>
            </w:r>
            <w:r w:rsidRPr="00541A4C">
              <w:rPr>
                <w:rFonts w:ascii="Times New Roman" w:hAnsi="Times New Roman" w:cs="Times New Roman"/>
                <w:i/>
                <w:iCs/>
                <w:color w:val="000000"/>
                <w:spacing w:val="-5"/>
                <w:sz w:val="24"/>
                <w:szCs w:val="24"/>
              </w:rPr>
              <w:t>American Educational Research Journal</w:t>
            </w:r>
            <w:r w:rsidRPr="00541A4C">
              <w:rPr>
                <w:rFonts w:ascii="Times New Roman" w:hAnsi="Times New Roman" w:cs="Times New Roman"/>
                <w:color w:val="000000"/>
                <w:spacing w:val="-5"/>
                <w:sz w:val="24"/>
                <w:szCs w:val="24"/>
              </w:rPr>
              <w:t>, </w:t>
            </w:r>
            <w:r w:rsidRPr="00541A4C">
              <w:rPr>
                <w:rFonts w:ascii="Times New Roman" w:hAnsi="Times New Roman" w:cs="Times New Roman"/>
                <w:i/>
                <w:iCs/>
                <w:color w:val="000000"/>
                <w:spacing w:val="-5"/>
                <w:sz w:val="24"/>
                <w:szCs w:val="24"/>
              </w:rPr>
              <w:t>54</w:t>
            </w:r>
            <w:r w:rsidRPr="00541A4C">
              <w:rPr>
                <w:rFonts w:ascii="Times New Roman" w:hAnsi="Times New Roman" w:cs="Times New Roman"/>
                <w:color w:val="000000"/>
                <w:spacing w:val="-5"/>
                <w:sz w:val="24"/>
                <w:szCs w:val="24"/>
              </w:rPr>
              <w:t xml:space="preserve">(1), 127–166. </w:t>
            </w:r>
            <w:hyperlink r:id="rId24" w:history="1">
              <w:r w:rsidR="00541A4C" w:rsidRPr="00CD2B08">
                <w:rPr>
                  <w:rStyle w:val="Hyperlink"/>
                  <w:rFonts w:ascii="Times New Roman" w:hAnsi="Times New Roman" w:cs="Times New Roman"/>
                  <w:spacing w:val="-5"/>
                  <w:sz w:val="24"/>
                  <w:szCs w:val="24"/>
                </w:rPr>
                <w:t>http://www.jstor.org/stable/44245373</w:t>
              </w:r>
            </w:hyperlink>
          </w:p>
          <w:p w14:paraId="52C591C4" w14:textId="35D9EDB1" w:rsidR="00541A4C" w:rsidRPr="00541A4C" w:rsidRDefault="00541A4C" w:rsidP="000D54BB">
            <w:pPr>
              <w:pStyle w:val="NoSpacing"/>
              <w:rPr>
                <w:rFonts w:ascii="Times New Roman" w:hAnsi="Times New Roman" w:cs="Times New Roman"/>
                <w:sz w:val="24"/>
                <w:szCs w:val="24"/>
              </w:rPr>
            </w:pPr>
          </w:p>
        </w:tc>
      </w:tr>
      <w:tr w:rsidR="009B18A6" w:rsidRPr="00541A4C" w14:paraId="385A49FF" w14:textId="77777777" w:rsidTr="00E35ADB">
        <w:tc>
          <w:tcPr>
            <w:tcW w:w="9926" w:type="dxa"/>
            <w:shd w:val="clear" w:color="auto" w:fill="auto"/>
          </w:tcPr>
          <w:p w14:paraId="5E031C1C" w14:textId="5DEBC888" w:rsidR="009B18A6" w:rsidRPr="00541A4C" w:rsidRDefault="009B18A6" w:rsidP="006D2FE1">
            <w:pPr>
              <w:pStyle w:val="NoSpacing"/>
              <w:rPr>
                <w:rFonts w:ascii="Times New Roman" w:hAnsi="Times New Roman" w:cs="Times New Roman"/>
                <w:sz w:val="24"/>
                <w:szCs w:val="24"/>
              </w:rPr>
            </w:pPr>
            <w:r w:rsidRPr="00541A4C">
              <w:rPr>
                <w:rFonts w:ascii="Times New Roman" w:hAnsi="Times New Roman" w:cs="Times New Roman"/>
                <w:b/>
                <w:bCs/>
                <w:sz w:val="24"/>
                <w:szCs w:val="24"/>
              </w:rPr>
              <w:t xml:space="preserve">What </w:t>
            </w:r>
            <w:r w:rsidR="006D2FE1" w:rsidRPr="00541A4C">
              <w:rPr>
                <w:rFonts w:ascii="Times New Roman" w:hAnsi="Times New Roman" w:cs="Times New Roman"/>
                <w:b/>
                <w:bCs/>
                <w:sz w:val="24"/>
                <w:szCs w:val="24"/>
              </w:rPr>
              <w:t>are some</w:t>
            </w:r>
            <w:r w:rsidRPr="00541A4C">
              <w:rPr>
                <w:rFonts w:ascii="Times New Roman" w:hAnsi="Times New Roman" w:cs="Times New Roman"/>
                <w:b/>
                <w:bCs/>
                <w:sz w:val="24"/>
                <w:szCs w:val="24"/>
              </w:rPr>
              <w:t xml:space="preserve"> improvement</w:t>
            </w:r>
            <w:r w:rsidR="006D2FE1" w:rsidRPr="00541A4C">
              <w:rPr>
                <w:rFonts w:ascii="Times New Roman" w:hAnsi="Times New Roman" w:cs="Times New Roman"/>
                <w:b/>
                <w:bCs/>
                <w:sz w:val="24"/>
                <w:szCs w:val="24"/>
              </w:rPr>
              <w:t>s</w:t>
            </w:r>
            <w:r w:rsidRPr="00541A4C">
              <w:rPr>
                <w:rFonts w:ascii="Times New Roman" w:hAnsi="Times New Roman" w:cs="Times New Roman"/>
                <w:b/>
                <w:bCs/>
                <w:sz w:val="24"/>
                <w:szCs w:val="24"/>
              </w:rPr>
              <w:t xml:space="preserve"> your department can make?</w:t>
            </w:r>
            <w:r w:rsidR="006D2FE1" w:rsidRPr="00541A4C">
              <w:rPr>
                <w:rFonts w:ascii="Times New Roman" w:hAnsi="Times New Roman" w:cs="Times New Roman"/>
                <w:b/>
                <w:bCs/>
                <w:sz w:val="24"/>
                <w:szCs w:val="24"/>
              </w:rPr>
              <w:t xml:space="preserve">  </w:t>
            </w:r>
            <w:r w:rsidRPr="00541A4C">
              <w:rPr>
                <w:rFonts w:ascii="Times New Roman" w:hAnsi="Times New Roman" w:cs="Times New Roman"/>
                <w:b/>
                <w:bCs/>
                <w:sz w:val="24"/>
                <w:szCs w:val="24"/>
              </w:rPr>
              <w:t>Identify strategies.</w:t>
            </w:r>
            <w:r w:rsidRPr="00541A4C">
              <w:rPr>
                <w:rFonts w:ascii="Times New Roman" w:hAnsi="Times New Roman" w:cs="Times New Roman"/>
                <w:sz w:val="24"/>
                <w:szCs w:val="24"/>
              </w:rPr>
              <w:t xml:space="preserve"> </w:t>
            </w:r>
          </w:p>
        </w:tc>
      </w:tr>
      <w:tr w:rsidR="009B18A6" w:rsidRPr="00541A4C" w14:paraId="79A7B773" w14:textId="77777777" w:rsidTr="00E35ADB">
        <w:tc>
          <w:tcPr>
            <w:tcW w:w="9926" w:type="dxa"/>
            <w:shd w:val="clear" w:color="auto" w:fill="FFF2CC" w:themeFill="accent4" w:themeFillTint="33"/>
          </w:tcPr>
          <w:p w14:paraId="66025512" w14:textId="02BECE32" w:rsidR="003333E0" w:rsidRPr="00541A4C" w:rsidRDefault="003333E0" w:rsidP="009B18A6">
            <w:pPr>
              <w:pStyle w:val="NoSpacing"/>
              <w:rPr>
                <w:rFonts w:ascii="Times New Roman" w:hAnsi="Times New Roman" w:cs="Times New Roman"/>
                <w:sz w:val="24"/>
                <w:szCs w:val="24"/>
              </w:rPr>
            </w:pPr>
            <w:r w:rsidRPr="00541A4C">
              <w:rPr>
                <w:rFonts w:ascii="Times New Roman" w:hAnsi="Times New Roman" w:cs="Times New Roman"/>
                <w:sz w:val="24"/>
                <w:szCs w:val="24"/>
              </w:rPr>
              <w:t>Culturally-relevant pedagogy and instruction is central to our mission and the work of equity across the institution. In supporting these program, departmen</w:t>
            </w:r>
            <w:r w:rsidR="00326C73">
              <w:rPr>
                <w:rFonts w:ascii="Times New Roman" w:hAnsi="Times New Roman" w:cs="Times New Roman"/>
                <w:sz w:val="24"/>
                <w:szCs w:val="24"/>
              </w:rPr>
              <w:t>t</w:t>
            </w:r>
            <w:r w:rsidRPr="00541A4C">
              <w:rPr>
                <w:rFonts w:ascii="Times New Roman" w:hAnsi="Times New Roman" w:cs="Times New Roman"/>
                <w:sz w:val="24"/>
                <w:szCs w:val="24"/>
              </w:rPr>
              <w:t xml:space="preserve">, and college goals we can continue to </w:t>
            </w:r>
          </w:p>
          <w:p w14:paraId="5FB3DF1F" w14:textId="77777777" w:rsidR="00804A2E" w:rsidRPr="00541A4C" w:rsidRDefault="00804A2E" w:rsidP="009B18A6">
            <w:pPr>
              <w:pStyle w:val="NoSpacing"/>
              <w:rPr>
                <w:rFonts w:ascii="Times New Roman" w:hAnsi="Times New Roman" w:cs="Times New Roman"/>
                <w:sz w:val="24"/>
                <w:szCs w:val="24"/>
              </w:rPr>
            </w:pPr>
          </w:p>
          <w:p w14:paraId="76215AB1" w14:textId="3FFB8290" w:rsidR="003333E0" w:rsidRPr="00541A4C" w:rsidRDefault="003333E0" w:rsidP="00804A2E">
            <w:pPr>
              <w:pStyle w:val="NoSpacing"/>
              <w:numPr>
                <w:ilvl w:val="0"/>
                <w:numId w:val="43"/>
              </w:numPr>
              <w:rPr>
                <w:rFonts w:ascii="Times New Roman" w:hAnsi="Times New Roman" w:cs="Times New Roman"/>
                <w:sz w:val="24"/>
                <w:szCs w:val="24"/>
              </w:rPr>
            </w:pPr>
            <w:r w:rsidRPr="00541A4C">
              <w:rPr>
                <w:rFonts w:ascii="Times New Roman" w:hAnsi="Times New Roman" w:cs="Times New Roman"/>
                <w:sz w:val="24"/>
                <w:szCs w:val="24"/>
              </w:rPr>
              <w:t>Develop and expand course offerings that reflect a culturally-relevant pedagogy and decenter whiteness</w:t>
            </w:r>
            <w:r w:rsidR="00804A2E" w:rsidRPr="00541A4C">
              <w:rPr>
                <w:rFonts w:ascii="Times New Roman" w:hAnsi="Times New Roman" w:cs="Times New Roman"/>
                <w:sz w:val="24"/>
                <w:szCs w:val="24"/>
              </w:rPr>
              <w:t>, work that should not be limited to the program in Ethnic Studies</w:t>
            </w:r>
          </w:p>
          <w:p w14:paraId="2ECC9486" w14:textId="77777777" w:rsidR="00804A2E" w:rsidRPr="00541A4C" w:rsidRDefault="00804A2E" w:rsidP="00804A2E">
            <w:pPr>
              <w:pStyle w:val="NoSpacing"/>
              <w:rPr>
                <w:rFonts w:ascii="Times New Roman" w:hAnsi="Times New Roman" w:cs="Times New Roman"/>
                <w:sz w:val="24"/>
                <w:szCs w:val="24"/>
              </w:rPr>
            </w:pPr>
          </w:p>
          <w:p w14:paraId="1AA799F7" w14:textId="128380D5" w:rsidR="003333E0" w:rsidRPr="00541A4C" w:rsidRDefault="003333E0" w:rsidP="00804A2E">
            <w:pPr>
              <w:pStyle w:val="NoSpacing"/>
              <w:numPr>
                <w:ilvl w:val="0"/>
                <w:numId w:val="43"/>
              </w:numPr>
              <w:rPr>
                <w:rFonts w:ascii="Times New Roman" w:hAnsi="Times New Roman" w:cs="Times New Roman"/>
                <w:sz w:val="24"/>
                <w:szCs w:val="24"/>
              </w:rPr>
            </w:pPr>
            <w:r w:rsidRPr="00541A4C">
              <w:rPr>
                <w:rFonts w:ascii="Times New Roman" w:hAnsi="Times New Roman" w:cs="Times New Roman"/>
                <w:sz w:val="24"/>
                <w:szCs w:val="24"/>
              </w:rPr>
              <w:t>Support hiring practices and policies to recruit part-time and full</w:t>
            </w:r>
            <w:r w:rsidR="007D4FC3" w:rsidRPr="00541A4C">
              <w:rPr>
                <w:rFonts w:ascii="Times New Roman" w:hAnsi="Times New Roman" w:cs="Times New Roman"/>
                <w:sz w:val="24"/>
                <w:szCs w:val="24"/>
              </w:rPr>
              <w:t>-</w:t>
            </w:r>
            <w:r w:rsidRPr="00541A4C">
              <w:rPr>
                <w:rFonts w:ascii="Times New Roman" w:hAnsi="Times New Roman" w:cs="Times New Roman"/>
                <w:sz w:val="24"/>
                <w:szCs w:val="24"/>
              </w:rPr>
              <w:t xml:space="preserve">time instructors grounded in intersectional, decolonial, and anti-racist approaches towards education, with an emphasis upon naming specific experiences, interests, areas of expertise and/or </w:t>
            </w:r>
            <w:r w:rsidR="00AD4A37" w:rsidRPr="00541A4C">
              <w:rPr>
                <w:rFonts w:ascii="Times New Roman" w:hAnsi="Times New Roman" w:cs="Times New Roman"/>
                <w:sz w:val="24"/>
                <w:szCs w:val="24"/>
              </w:rPr>
              <w:t>community involvement;</w:t>
            </w:r>
          </w:p>
          <w:p w14:paraId="3A4E5572" w14:textId="77777777" w:rsidR="00804A2E" w:rsidRPr="00541A4C" w:rsidRDefault="00804A2E" w:rsidP="00804A2E">
            <w:pPr>
              <w:pStyle w:val="ListParagraph"/>
              <w:rPr>
                <w:rFonts w:ascii="Times New Roman" w:hAnsi="Times New Roman" w:cs="Times New Roman"/>
                <w:sz w:val="24"/>
                <w:szCs w:val="24"/>
              </w:rPr>
            </w:pPr>
          </w:p>
          <w:p w14:paraId="59F22A51" w14:textId="0C87DAF3" w:rsidR="00804A2E" w:rsidRPr="00541A4C" w:rsidRDefault="00804A2E" w:rsidP="00804A2E">
            <w:pPr>
              <w:pStyle w:val="NoSpacing"/>
              <w:numPr>
                <w:ilvl w:val="0"/>
                <w:numId w:val="43"/>
              </w:numPr>
              <w:rPr>
                <w:rFonts w:ascii="Times New Roman" w:hAnsi="Times New Roman" w:cs="Times New Roman"/>
                <w:sz w:val="24"/>
                <w:szCs w:val="24"/>
              </w:rPr>
            </w:pPr>
            <w:r w:rsidRPr="00541A4C">
              <w:rPr>
                <w:rFonts w:ascii="Times New Roman" w:hAnsi="Times New Roman" w:cs="Times New Roman"/>
                <w:sz w:val="24"/>
                <w:szCs w:val="24"/>
              </w:rPr>
              <w:t>Ensure that instructors are not perpetuating a hostile or harmful environment for students-of-color</w:t>
            </w:r>
          </w:p>
          <w:p w14:paraId="6EC61663" w14:textId="77777777" w:rsidR="00AD4A37" w:rsidRPr="00541A4C" w:rsidRDefault="00AD4A37" w:rsidP="009B18A6">
            <w:pPr>
              <w:pStyle w:val="NoSpacing"/>
              <w:rPr>
                <w:rFonts w:ascii="Times New Roman" w:hAnsi="Times New Roman" w:cs="Times New Roman"/>
                <w:sz w:val="24"/>
                <w:szCs w:val="24"/>
              </w:rPr>
            </w:pPr>
          </w:p>
          <w:p w14:paraId="6983A040" w14:textId="76BB58F6" w:rsidR="009B18A6" w:rsidRPr="00541A4C" w:rsidRDefault="009B18A6" w:rsidP="009B18A6">
            <w:pPr>
              <w:pStyle w:val="NoSpacing"/>
              <w:rPr>
                <w:rFonts w:ascii="Times New Roman" w:hAnsi="Times New Roman" w:cs="Times New Roman"/>
                <w:sz w:val="24"/>
                <w:szCs w:val="24"/>
              </w:rPr>
            </w:pPr>
          </w:p>
        </w:tc>
      </w:tr>
      <w:tr w:rsidR="00804A2E" w:rsidRPr="00541A4C" w14:paraId="2F95E750" w14:textId="77777777" w:rsidTr="00E35ADB">
        <w:tc>
          <w:tcPr>
            <w:tcW w:w="9926" w:type="dxa"/>
            <w:shd w:val="clear" w:color="auto" w:fill="FFF2CC" w:themeFill="accent4" w:themeFillTint="33"/>
          </w:tcPr>
          <w:p w14:paraId="08B1FF25" w14:textId="77777777" w:rsidR="00804A2E" w:rsidRPr="00541A4C" w:rsidRDefault="00804A2E" w:rsidP="009B18A6">
            <w:pPr>
              <w:pStyle w:val="NoSpacing"/>
              <w:rPr>
                <w:rFonts w:ascii="Times New Roman" w:hAnsi="Times New Roman" w:cs="Times New Roman"/>
                <w:sz w:val="24"/>
                <w:szCs w:val="24"/>
              </w:rPr>
            </w:pPr>
          </w:p>
        </w:tc>
      </w:tr>
    </w:tbl>
    <w:p w14:paraId="10149D5B" w14:textId="79D8361A" w:rsidR="00106447" w:rsidRPr="00541A4C" w:rsidRDefault="00106447" w:rsidP="00EE3904"/>
    <w:tbl>
      <w:tblPr>
        <w:tblStyle w:val="TableGrid"/>
        <w:tblW w:w="0" w:type="auto"/>
        <w:tblLook w:val="04A0" w:firstRow="1" w:lastRow="0" w:firstColumn="1" w:lastColumn="0" w:noHBand="0" w:noVBand="1"/>
      </w:tblPr>
      <w:tblGrid>
        <w:gridCol w:w="9926"/>
      </w:tblGrid>
      <w:tr w:rsidR="00106447" w:rsidRPr="00541A4C" w14:paraId="05BA2C08" w14:textId="77777777" w:rsidTr="00E35ADB">
        <w:tc>
          <w:tcPr>
            <w:tcW w:w="9926" w:type="dxa"/>
            <w:shd w:val="clear" w:color="auto" w:fill="009193"/>
          </w:tcPr>
          <w:p w14:paraId="3AB6866C" w14:textId="37F7D9E9" w:rsidR="00106447" w:rsidRPr="00541A4C" w:rsidRDefault="00C94A73" w:rsidP="00EE3904">
            <w:pPr>
              <w:rPr>
                <w:rStyle w:val="Hyperlink"/>
                <w:rFonts w:eastAsia="Avenir"/>
                <w:b/>
                <w:bCs/>
                <w:color w:val="FFFFFF" w:themeColor="background1"/>
              </w:rPr>
            </w:pPr>
            <w:r w:rsidRPr="00541A4C">
              <w:rPr>
                <w:rFonts w:eastAsia="Calibri"/>
                <w:b/>
                <w:bCs/>
                <w:color w:val="FFFFFF" w:themeColor="background1"/>
              </w:rPr>
              <w:t>3</w:t>
            </w:r>
            <w:r w:rsidR="00064350" w:rsidRPr="00541A4C">
              <w:rPr>
                <w:rFonts w:eastAsia="Calibri"/>
                <w:b/>
                <w:bCs/>
                <w:color w:val="FFFFFF" w:themeColor="background1"/>
              </w:rPr>
              <w:t>a</w:t>
            </w:r>
            <w:r w:rsidR="00D32B9E" w:rsidRPr="00541A4C">
              <w:rPr>
                <w:rFonts w:eastAsia="Calibri"/>
                <w:b/>
                <w:bCs/>
                <w:color w:val="FFFFFF" w:themeColor="background1"/>
              </w:rPr>
              <w:t xml:space="preserve">. </w:t>
            </w:r>
            <w:hyperlink r:id="rId25">
              <w:r w:rsidR="00D32B9E" w:rsidRPr="00541A4C">
                <w:rPr>
                  <w:rStyle w:val="Hyperlink"/>
                  <w:rFonts w:eastAsia="Avenir"/>
                  <w:b/>
                  <w:bCs/>
                  <w:color w:val="FFFFFF" w:themeColor="background1"/>
                </w:rPr>
                <w:t>Enrollment Trend and Productivity Dashboard</w:t>
              </w:r>
            </w:hyperlink>
          </w:p>
          <w:p w14:paraId="5C821706" w14:textId="0C8C0148" w:rsidR="00D32B9E" w:rsidRPr="00541A4C" w:rsidRDefault="00D32B9E" w:rsidP="00EE3904">
            <w:pPr>
              <w:rPr>
                <w:rFonts w:eastAsia="Avenir Black"/>
              </w:rPr>
            </w:pPr>
            <w:r w:rsidRPr="00541A4C">
              <w:rPr>
                <w:rFonts w:eastAsia="Avenir Black"/>
                <w:color w:val="FFFFFF" w:themeColor="background1"/>
              </w:rPr>
              <w:t xml:space="preserve">*Note that completion and retention rates are presented with the inclusion </w:t>
            </w:r>
            <w:r w:rsidR="003A0E51" w:rsidRPr="00541A4C">
              <w:rPr>
                <w:rFonts w:eastAsia="Avenir Black"/>
                <w:color w:val="FFFFFF" w:themeColor="background1"/>
              </w:rPr>
              <w:t xml:space="preserve">and exclusion of excused </w:t>
            </w:r>
            <w:r w:rsidRPr="00541A4C">
              <w:rPr>
                <w:rFonts w:eastAsia="Avenir Black"/>
                <w:color w:val="FFFFFF" w:themeColor="background1"/>
              </w:rPr>
              <w:t xml:space="preserve">withdrawals (EW) and military withdrawals.  </w:t>
            </w:r>
          </w:p>
        </w:tc>
      </w:tr>
      <w:tr w:rsidR="00106447" w:rsidRPr="00541A4C" w14:paraId="451159FB" w14:textId="77777777" w:rsidTr="00106447">
        <w:tc>
          <w:tcPr>
            <w:tcW w:w="9926" w:type="dxa"/>
          </w:tcPr>
          <w:p w14:paraId="5237E321" w14:textId="288F1BAE" w:rsidR="00106447" w:rsidRPr="00541A4C" w:rsidRDefault="00D32B9E" w:rsidP="00EE3904">
            <w:pPr>
              <w:rPr>
                <w:b/>
                <w:bCs/>
              </w:rPr>
            </w:pPr>
            <w:r w:rsidRPr="00541A4C">
              <w:rPr>
                <w:rFonts w:eastAsia="Avenir Black"/>
                <w:b/>
                <w:bCs/>
              </w:rPr>
              <w:t xml:space="preserve">What </w:t>
            </w:r>
            <w:r w:rsidR="006D2FE1" w:rsidRPr="00541A4C">
              <w:rPr>
                <w:rFonts w:eastAsia="Avenir Black"/>
                <w:b/>
                <w:bCs/>
              </w:rPr>
              <w:t>we</w:t>
            </w:r>
            <w:r w:rsidRPr="00541A4C">
              <w:rPr>
                <w:rFonts w:eastAsia="Avenir Black"/>
                <w:b/>
                <w:bCs/>
              </w:rPr>
              <w:t xml:space="preserve">re </w:t>
            </w:r>
            <w:r w:rsidR="00A749E2" w:rsidRPr="00541A4C">
              <w:rPr>
                <w:rFonts w:eastAsia="Avenir Black"/>
                <w:b/>
                <w:bCs/>
              </w:rPr>
              <w:t xml:space="preserve">the </w:t>
            </w:r>
            <w:r w:rsidRPr="00541A4C">
              <w:rPr>
                <w:rFonts w:eastAsia="Avenir Black"/>
                <w:b/>
                <w:bCs/>
              </w:rPr>
              <w:t>enrollment trends</w:t>
            </w:r>
            <w:r w:rsidR="006D2FE1" w:rsidRPr="00541A4C">
              <w:rPr>
                <w:rFonts w:eastAsia="Avenir Black"/>
                <w:b/>
                <w:bCs/>
              </w:rPr>
              <w:t xml:space="preserve"> in your department</w:t>
            </w:r>
            <w:r w:rsidRPr="00541A4C">
              <w:rPr>
                <w:rFonts w:eastAsia="Avenir Black"/>
                <w:b/>
                <w:bCs/>
              </w:rPr>
              <w:t xml:space="preserve"> in the past three years?</w:t>
            </w:r>
            <w:r w:rsidR="00675667" w:rsidRPr="00541A4C">
              <w:rPr>
                <w:rFonts w:eastAsia="Avenir Black"/>
                <w:b/>
                <w:bCs/>
              </w:rPr>
              <w:t xml:space="preserve"> </w:t>
            </w:r>
          </w:p>
        </w:tc>
      </w:tr>
      <w:tr w:rsidR="00106447" w:rsidRPr="00541A4C" w14:paraId="69E2598A" w14:textId="77777777" w:rsidTr="00821912">
        <w:tc>
          <w:tcPr>
            <w:tcW w:w="9926" w:type="dxa"/>
            <w:shd w:val="clear" w:color="auto" w:fill="FFF2CC" w:themeFill="accent4" w:themeFillTint="33"/>
          </w:tcPr>
          <w:p w14:paraId="77B76DFE" w14:textId="0A9DA70E" w:rsidR="00106447" w:rsidRPr="00541A4C" w:rsidRDefault="00986132" w:rsidP="00EE3904">
            <w:r w:rsidRPr="00541A4C">
              <w:t>While enrollment dropped over the previous three academic years, from 434 in 2019-2020 to 398 students in 2021-2022, curiously enough e</w:t>
            </w:r>
            <w:r w:rsidR="00804A2E" w:rsidRPr="00541A4C">
              <w:t>nrollment bumped upward, slightly</w:t>
            </w:r>
            <w:r w:rsidRPr="00541A4C">
              <w:t xml:space="preserve"> </w:t>
            </w:r>
            <w:r w:rsidR="00804A2E" w:rsidRPr="00541A4C">
              <w:t>in 2020-2021</w:t>
            </w:r>
            <w:r w:rsidRPr="00541A4C">
              <w:t xml:space="preserve">, to 456. We hypothesize the year-to-year decrease reflects the limited and changing options i.e. lower </w:t>
            </w:r>
            <w:r w:rsidRPr="00541A4C">
              <w:lastRenderedPageBreak/>
              <w:t>number of classes offered in Ethnic Studies, with the uncertainty of returning to face-to-face instruction, in the context of the ongoing COVID 19 pandemic.</w:t>
            </w:r>
          </w:p>
          <w:p w14:paraId="45B5C8BA" w14:textId="19EB8E9E" w:rsidR="00D32B9E" w:rsidRPr="00541A4C" w:rsidRDefault="00D32B9E" w:rsidP="00EE3904"/>
        </w:tc>
      </w:tr>
      <w:tr w:rsidR="00106447" w:rsidRPr="00541A4C" w14:paraId="3E1E0B48" w14:textId="77777777" w:rsidTr="00106447">
        <w:tc>
          <w:tcPr>
            <w:tcW w:w="9926" w:type="dxa"/>
          </w:tcPr>
          <w:p w14:paraId="4FE5CE09" w14:textId="56068C77" w:rsidR="00106447" w:rsidRPr="00541A4C" w:rsidRDefault="00D32B9E" w:rsidP="00EE3904">
            <w:pPr>
              <w:rPr>
                <w:rFonts w:eastAsia="Avenir Black"/>
                <w:b/>
                <w:bCs/>
              </w:rPr>
            </w:pPr>
            <w:r w:rsidRPr="00541A4C">
              <w:rPr>
                <w:rFonts w:eastAsia="Avenir Black"/>
                <w:b/>
                <w:bCs/>
              </w:rPr>
              <w:lastRenderedPageBreak/>
              <w:t xml:space="preserve">What </w:t>
            </w:r>
            <w:r w:rsidR="00164383" w:rsidRPr="00541A4C">
              <w:rPr>
                <w:rFonts w:eastAsia="Avenir Black"/>
                <w:b/>
                <w:bCs/>
              </w:rPr>
              <w:t xml:space="preserve">strategies </w:t>
            </w:r>
            <w:r w:rsidRPr="00541A4C">
              <w:rPr>
                <w:rFonts w:eastAsia="Avenir Black"/>
                <w:b/>
                <w:bCs/>
              </w:rPr>
              <w:t>would you recommend to increase student enrollment in your department?</w:t>
            </w:r>
          </w:p>
        </w:tc>
      </w:tr>
      <w:tr w:rsidR="00106447" w:rsidRPr="00541A4C" w14:paraId="1E015EB1" w14:textId="77777777" w:rsidTr="00821912">
        <w:tc>
          <w:tcPr>
            <w:tcW w:w="9926" w:type="dxa"/>
            <w:shd w:val="clear" w:color="auto" w:fill="FFF2CC" w:themeFill="accent4" w:themeFillTint="33"/>
          </w:tcPr>
          <w:p w14:paraId="2A1E72E6" w14:textId="270A18DD" w:rsidR="00666C88" w:rsidRPr="00541A4C" w:rsidRDefault="00666C88" w:rsidP="00EE3904">
            <w:r w:rsidRPr="00541A4C">
              <w:t>We recognize that our lower enrollments lead to a limited course selection, and less available sections within those offerings. For Ethnic Studies + to grow, it will require an expansion of classes across each area, with targeted recruitment efforts made with community partnerships (such as via Berkeley High). The CSU transfer requirement will undoubtably boost enrollment, as well as insuring that ETHST + classes are linked with BCC’s learning communities.</w:t>
            </w:r>
          </w:p>
          <w:p w14:paraId="21A3A518" w14:textId="794A1542" w:rsidR="00666C88" w:rsidRPr="00541A4C" w:rsidRDefault="00666C88" w:rsidP="00EE3904"/>
        </w:tc>
      </w:tr>
      <w:tr w:rsidR="004420AB" w:rsidRPr="00541A4C" w14:paraId="72FBC7F2" w14:textId="77777777" w:rsidTr="00DE72B1">
        <w:trPr>
          <w:trHeight w:val="4850"/>
        </w:trPr>
        <w:tc>
          <w:tcPr>
            <w:tcW w:w="9926" w:type="dxa"/>
            <w:shd w:val="clear" w:color="auto" w:fill="E2EFD9" w:themeFill="accent6" w:themeFillTint="33"/>
          </w:tcPr>
          <w:p w14:paraId="708FA9B1" w14:textId="21D27D3E" w:rsidR="004420AB" w:rsidRPr="00541A4C" w:rsidRDefault="004420AB" w:rsidP="004420AB">
            <w:r w:rsidRPr="00541A4C">
              <w:t xml:space="preserve">Community Colleges are funded based on the </w:t>
            </w:r>
            <w:hyperlink r:id="rId26" w:history="1">
              <w:r w:rsidRPr="00541A4C">
                <w:rPr>
                  <w:rStyle w:val="Hyperlink"/>
                </w:rPr>
                <w:t>Student Centered Funding Formula (“SCFF”)</w:t>
              </w:r>
            </w:hyperlink>
            <w:r w:rsidRPr="00541A4C">
              <w:t xml:space="preserve"> which is comprised of the following allocations:</w:t>
            </w:r>
          </w:p>
          <w:p w14:paraId="4E3955D9" w14:textId="77777777" w:rsidR="004420AB" w:rsidRPr="00541A4C" w:rsidRDefault="004420AB" w:rsidP="004420AB"/>
          <w:tbl>
            <w:tblPr>
              <w:tblStyle w:val="TableGrid"/>
              <w:tblW w:w="0" w:type="auto"/>
              <w:tblLook w:val="04A0" w:firstRow="1" w:lastRow="0" w:firstColumn="1" w:lastColumn="0" w:noHBand="0" w:noVBand="1"/>
            </w:tblPr>
            <w:tblGrid>
              <w:gridCol w:w="4028"/>
              <w:gridCol w:w="5322"/>
            </w:tblGrid>
            <w:tr w:rsidR="006732A0" w:rsidRPr="00541A4C" w14:paraId="606B1799" w14:textId="77777777" w:rsidTr="00666C88">
              <w:tc>
                <w:tcPr>
                  <w:tcW w:w="9350" w:type="dxa"/>
                  <w:gridSpan w:val="2"/>
                  <w:shd w:val="clear" w:color="auto" w:fill="009193"/>
                </w:tcPr>
                <w:p w14:paraId="7DD145AE" w14:textId="77777777" w:rsidR="006732A0" w:rsidRPr="00541A4C" w:rsidRDefault="006732A0" w:rsidP="006732A0">
                  <w:pPr>
                    <w:jc w:val="center"/>
                    <w:rPr>
                      <w:b/>
                      <w:bCs/>
                      <w:color w:val="FFFFFF" w:themeColor="background1"/>
                    </w:rPr>
                  </w:pPr>
                  <w:r w:rsidRPr="00541A4C">
                    <w:rPr>
                      <w:b/>
                      <w:bCs/>
                      <w:color w:val="FFFFFF" w:themeColor="background1"/>
                    </w:rPr>
                    <w:t>Student Centered Funding Formula: Focus and Priorities</w:t>
                  </w:r>
                </w:p>
              </w:tc>
            </w:tr>
            <w:tr w:rsidR="006732A0" w:rsidRPr="00541A4C" w14:paraId="341C2F00" w14:textId="77777777" w:rsidTr="006732A0">
              <w:tc>
                <w:tcPr>
                  <w:tcW w:w="4028" w:type="dxa"/>
                  <w:shd w:val="clear" w:color="auto" w:fill="FFF2CC" w:themeFill="accent4" w:themeFillTint="33"/>
                </w:tcPr>
                <w:p w14:paraId="07753E4C" w14:textId="77777777" w:rsidR="006732A0" w:rsidRPr="00541A4C" w:rsidRDefault="006732A0" w:rsidP="006732A0">
                  <w:pPr>
                    <w:rPr>
                      <w:b/>
                    </w:rPr>
                  </w:pPr>
                  <w:r w:rsidRPr="00541A4C">
                    <w:rPr>
                      <w:b/>
                    </w:rPr>
                    <w:t>% Of Allocation</w:t>
                  </w:r>
                </w:p>
              </w:tc>
              <w:tc>
                <w:tcPr>
                  <w:tcW w:w="5322" w:type="dxa"/>
                  <w:shd w:val="clear" w:color="auto" w:fill="FFF2CC" w:themeFill="accent4" w:themeFillTint="33"/>
                </w:tcPr>
                <w:p w14:paraId="37E3AACC" w14:textId="77777777" w:rsidR="006732A0" w:rsidRPr="00541A4C" w:rsidRDefault="006732A0" w:rsidP="006732A0">
                  <w:pPr>
                    <w:rPr>
                      <w:b/>
                    </w:rPr>
                  </w:pPr>
                  <w:r w:rsidRPr="00541A4C">
                    <w:rPr>
                      <w:b/>
                    </w:rPr>
                    <w:t xml:space="preserve">Categories </w:t>
                  </w:r>
                </w:p>
              </w:tc>
            </w:tr>
            <w:tr w:rsidR="006732A0" w:rsidRPr="00541A4C" w14:paraId="51C96443" w14:textId="77777777" w:rsidTr="006732A0">
              <w:tc>
                <w:tcPr>
                  <w:tcW w:w="4028" w:type="dxa"/>
                  <w:shd w:val="clear" w:color="auto" w:fill="FFFFFF" w:themeFill="background1"/>
                </w:tcPr>
                <w:p w14:paraId="3843D324" w14:textId="77777777" w:rsidR="006732A0" w:rsidRPr="00541A4C" w:rsidRDefault="006732A0" w:rsidP="006732A0">
                  <w:r w:rsidRPr="00541A4C">
                    <w:t>70%</w:t>
                  </w:r>
                </w:p>
                <w:p w14:paraId="50155C2F" w14:textId="04DF3CF0" w:rsidR="006732A0" w:rsidRPr="00541A4C" w:rsidRDefault="006732A0" w:rsidP="006732A0">
                  <w:r w:rsidRPr="00541A4C">
                    <w:t>Base Allocation: FTES (Enrollment)</w:t>
                  </w:r>
                </w:p>
              </w:tc>
              <w:tc>
                <w:tcPr>
                  <w:tcW w:w="5322" w:type="dxa"/>
                  <w:shd w:val="clear" w:color="auto" w:fill="FFFFFF" w:themeFill="background1"/>
                </w:tcPr>
                <w:p w14:paraId="5E7E5E40" w14:textId="77777777" w:rsidR="006732A0" w:rsidRPr="00541A4C" w:rsidRDefault="006732A0" w:rsidP="006732A0">
                  <w:pPr>
                    <w:pStyle w:val="ListParagraph"/>
                    <w:numPr>
                      <w:ilvl w:val="0"/>
                      <w:numId w:val="42"/>
                    </w:numPr>
                    <w:spacing w:after="0" w:line="240" w:lineRule="auto"/>
                    <w:ind w:left="256" w:hanging="180"/>
                    <w:rPr>
                      <w:rFonts w:ascii="Times New Roman" w:hAnsi="Times New Roman" w:cs="Times New Roman"/>
                      <w:sz w:val="24"/>
                      <w:szCs w:val="24"/>
                    </w:rPr>
                  </w:pPr>
                  <w:r w:rsidRPr="00541A4C">
                    <w:rPr>
                      <w:rFonts w:ascii="Times New Roman" w:hAnsi="Times New Roman" w:cs="Times New Roman"/>
                      <w:sz w:val="24"/>
                      <w:szCs w:val="24"/>
                    </w:rPr>
                    <w:t>Credit FTES</w:t>
                  </w:r>
                </w:p>
                <w:p w14:paraId="30F29BA9" w14:textId="58EA2A7F" w:rsidR="006732A0" w:rsidRPr="00541A4C" w:rsidRDefault="006732A0" w:rsidP="006732A0">
                  <w:pPr>
                    <w:pStyle w:val="ListParagraph"/>
                    <w:numPr>
                      <w:ilvl w:val="0"/>
                      <w:numId w:val="42"/>
                    </w:numPr>
                    <w:spacing w:after="0" w:line="240" w:lineRule="auto"/>
                    <w:ind w:left="256" w:hanging="180"/>
                    <w:rPr>
                      <w:rFonts w:ascii="Times New Roman" w:hAnsi="Times New Roman" w:cs="Times New Roman"/>
                      <w:sz w:val="24"/>
                      <w:szCs w:val="24"/>
                    </w:rPr>
                  </w:pPr>
                  <w:proofErr w:type="spellStart"/>
                  <w:r w:rsidRPr="00541A4C">
                    <w:rPr>
                      <w:rFonts w:ascii="Times New Roman" w:hAnsi="Times New Roman" w:cs="Times New Roman"/>
                      <w:sz w:val="24"/>
                      <w:szCs w:val="24"/>
                    </w:rPr>
                    <w:t>N</w:t>
                  </w:r>
                  <w:r w:rsidR="00DE72B1" w:rsidRPr="00541A4C">
                    <w:rPr>
                      <w:rFonts w:ascii="Times New Roman" w:hAnsi="Times New Roman" w:cs="Times New Roman"/>
                      <w:sz w:val="24"/>
                      <w:szCs w:val="24"/>
                    </w:rPr>
                    <w:t>on</w:t>
                  </w:r>
                  <w:r w:rsidRPr="00541A4C">
                    <w:rPr>
                      <w:rFonts w:ascii="Times New Roman" w:hAnsi="Times New Roman" w:cs="Times New Roman"/>
                      <w:sz w:val="24"/>
                      <w:szCs w:val="24"/>
                    </w:rPr>
                    <w:t>C</w:t>
                  </w:r>
                  <w:r w:rsidR="00DE72B1" w:rsidRPr="00541A4C">
                    <w:rPr>
                      <w:rFonts w:ascii="Times New Roman" w:hAnsi="Times New Roman" w:cs="Times New Roman"/>
                      <w:sz w:val="24"/>
                      <w:szCs w:val="24"/>
                    </w:rPr>
                    <w:t>redit</w:t>
                  </w:r>
                  <w:proofErr w:type="spellEnd"/>
                  <w:r w:rsidRPr="00541A4C">
                    <w:rPr>
                      <w:rFonts w:ascii="Times New Roman" w:hAnsi="Times New Roman" w:cs="Times New Roman"/>
                      <w:sz w:val="24"/>
                      <w:szCs w:val="24"/>
                    </w:rPr>
                    <w:t xml:space="preserve"> FTES</w:t>
                  </w:r>
                </w:p>
                <w:p w14:paraId="664A7723" w14:textId="77777777" w:rsidR="006732A0" w:rsidRPr="00541A4C" w:rsidRDefault="006732A0" w:rsidP="006732A0">
                  <w:pPr>
                    <w:pStyle w:val="ListParagraph"/>
                    <w:numPr>
                      <w:ilvl w:val="0"/>
                      <w:numId w:val="42"/>
                    </w:numPr>
                    <w:spacing w:after="0" w:line="240" w:lineRule="auto"/>
                    <w:ind w:left="256" w:hanging="180"/>
                    <w:rPr>
                      <w:rFonts w:ascii="Times New Roman" w:hAnsi="Times New Roman" w:cs="Times New Roman"/>
                      <w:sz w:val="24"/>
                      <w:szCs w:val="24"/>
                    </w:rPr>
                  </w:pPr>
                  <w:r w:rsidRPr="00541A4C">
                    <w:rPr>
                      <w:rFonts w:ascii="Times New Roman" w:hAnsi="Times New Roman" w:cs="Times New Roman"/>
                      <w:sz w:val="24"/>
                      <w:szCs w:val="24"/>
                    </w:rPr>
                    <w:t>Special Admits (Dual Enrollment, etc.)</w:t>
                  </w:r>
                </w:p>
              </w:tc>
            </w:tr>
            <w:tr w:rsidR="006732A0" w:rsidRPr="00541A4C" w14:paraId="33724DA5" w14:textId="77777777" w:rsidTr="006732A0">
              <w:tc>
                <w:tcPr>
                  <w:tcW w:w="4028" w:type="dxa"/>
                  <w:shd w:val="clear" w:color="auto" w:fill="FFFFFF" w:themeFill="background1"/>
                </w:tcPr>
                <w:p w14:paraId="3618436B" w14:textId="77777777" w:rsidR="006732A0" w:rsidRPr="00541A4C" w:rsidRDefault="006732A0" w:rsidP="006732A0">
                  <w:r w:rsidRPr="00541A4C">
                    <w:t>20%</w:t>
                  </w:r>
                </w:p>
                <w:p w14:paraId="5BDF3AFC" w14:textId="77777777" w:rsidR="006732A0" w:rsidRPr="00541A4C" w:rsidRDefault="006732A0" w:rsidP="006732A0">
                  <w:r w:rsidRPr="00541A4C">
                    <w:t>Supplemental Allocation</w:t>
                  </w:r>
                </w:p>
                <w:p w14:paraId="1DE6AA98" w14:textId="77777777" w:rsidR="006732A0" w:rsidRPr="00541A4C" w:rsidRDefault="006732A0" w:rsidP="006732A0"/>
              </w:tc>
              <w:tc>
                <w:tcPr>
                  <w:tcW w:w="5322" w:type="dxa"/>
                  <w:shd w:val="clear" w:color="auto" w:fill="FFFFFF" w:themeFill="background1"/>
                </w:tcPr>
                <w:p w14:paraId="352B42EA" w14:textId="77777777" w:rsidR="006732A0" w:rsidRPr="00541A4C" w:rsidRDefault="006732A0" w:rsidP="006732A0">
                  <w:pPr>
                    <w:pStyle w:val="ListParagraph"/>
                    <w:numPr>
                      <w:ilvl w:val="0"/>
                      <w:numId w:val="42"/>
                    </w:numPr>
                    <w:spacing w:after="0" w:line="240" w:lineRule="auto"/>
                    <w:ind w:left="256" w:hanging="180"/>
                    <w:rPr>
                      <w:rFonts w:ascii="Times New Roman" w:hAnsi="Times New Roman" w:cs="Times New Roman"/>
                      <w:sz w:val="24"/>
                      <w:szCs w:val="24"/>
                    </w:rPr>
                  </w:pPr>
                  <w:r w:rsidRPr="00541A4C">
                    <w:rPr>
                      <w:rFonts w:ascii="Times New Roman" w:hAnsi="Times New Roman" w:cs="Times New Roman"/>
                      <w:sz w:val="24"/>
                      <w:szCs w:val="24"/>
                    </w:rPr>
                    <w:t>Pell Grant</w:t>
                  </w:r>
                </w:p>
                <w:p w14:paraId="57B2DF9A" w14:textId="77777777" w:rsidR="006732A0" w:rsidRPr="00541A4C" w:rsidRDefault="006732A0" w:rsidP="006732A0">
                  <w:pPr>
                    <w:pStyle w:val="ListParagraph"/>
                    <w:numPr>
                      <w:ilvl w:val="0"/>
                      <w:numId w:val="42"/>
                    </w:numPr>
                    <w:spacing w:after="0" w:line="240" w:lineRule="auto"/>
                    <w:ind w:left="256" w:hanging="180"/>
                    <w:rPr>
                      <w:rFonts w:ascii="Times New Roman" w:hAnsi="Times New Roman" w:cs="Times New Roman"/>
                      <w:sz w:val="24"/>
                      <w:szCs w:val="24"/>
                    </w:rPr>
                  </w:pPr>
                  <w:r w:rsidRPr="00541A4C">
                    <w:rPr>
                      <w:rFonts w:ascii="Times New Roman" w:hAnsi="Times New Roman" w:cs="Times New Roman"/>
                      <w:sz w:val="24"/>
                      <w:szCs w:val="24"/>
                    </w:rPr>
                    <w:t>AB 540</w:t>
                  </w:r>
                </w:p>
                <w:p w14:paraId="0438F390" w14:textId="77777777" w:rsidR="006732A0" w:rsidRPr="00541A4C" w:rsidRDefault="006732A0" w:rsidP="006732A0">
                  <w:pPr>
                    <w:pStyle w:val="ListParagraph"/>
                    <w:numPr>
                      <w:ilvl w:val="0"/>
                      <w:numId w:val="42"/>
                    </w:numPr>
                    <w:spacing w:after="0" w:line="240" w:lineRule="auto"/>
                    <w:ind w:left="256" w:hanging="180"/>
                    <w:rPr>
                      <w:rFonts w:ascii="Times New Roman" w:hAnsi="Times New Roman" w:cs="Times New Roman"/>
                      <w:sz w:val="24"/>
                      <w:szCs w:val="24"/>
                    </w:rPr>
                  </w:pPr>
                  <w:r w:rsidRPr="00541A4C">
                    <w:rPr>
                      <w:rFonts w:ascii="Times New Roman" w:hAnsi="Times New Roman" w:cs="Times New Roman"/>
                      <w:sz w:val="24"/>
                      <w:szCs w:val="24"/>
                    </w:rPr>
                    <w:t>Adult School</w:t>
                  </w:r>
                </w:p>
                <w:p w14:paraId="17E47BE9" w14:textId="77777777" w:rsidR="006732A0" w:rsidRPr="00541A4C" w:rsidRDefault="006732A0" w:rsidP="006732A0">
                  <w:pPr>
                    <w:pStyle w:val="ListParagraph"/>
                    <w:numPr>
                      <w:ilvl w:val="0"/>
                      <w:numId w:val="42"/>
                    </w:numPr>
                    <w:spacing w:after="0" w:line="240" w:lineRule="auto"/>
                    <w:ind w:left="256" w:hanging="180"/>
                    <w:rPr>
                      <w:rFonts w:ascii="Times New Roman" w:hAnsi="Times New Roman" w:cs="Times New Roman"/>
                      <w:sz w:val="24"/>
                      <w:szCs w:val="24"/>
                    </w:rPr>
                  </w:pPr>
                  <w:r w:rsidRPr="00541A4C">
                    <w:rPr>
                      <w:rFonts w:ascii="Times New Roman" w:hAnsi="Times New Roman" w:cs="Times New Roman"/>
                      <w:sz w:val="24"/>
                      <w:szCs w:val="24"/>
                    </w:rPr>
                    <w:t>Promise Grants</w:t>
                  </w:r>
                </w:p>
              </w:tc>
            </w:tr>
            <w:tr w:rsidR="006732A0" w:rsidRPr="00541A4C" w14:paraId="344FFC4B" w14:textId="77777777" w:rsidTr="006732A0">
              <w:tc>
                <w:tcPr>
                  <w:tcW w:w="4028" w:type="dxa"/>
                  <w:shd w:val="clear" w:color="auto" w:fill="FFFFFF" w:themeFill="background1"/>
                </w:tcPr>
                <w:p w14:paraId="43198F07" w14:textId="4A5E7FC3" w:rsidR="006732A0" w:rsidRPr="00541A4C" w:rsidRDefault="00E54FFF" w:rsidP="006732A0">
                  <w:r w:rsidRPr="00541A4C">
                    <w:t>1</w:t>
                  </w:r>
                  <w:r w:rsidR="006732A0" w:rsidRPr="00541A4C">
                    <w:t>0%</w:t>
                  </w:r>
                </w:p>
                <w:p w14:paraId="4690E273" w14:textId="77777777" w:rsidR="006732A0" w:rsidRPr="00541A4C" w:rsidRDefault="006732A0" w:rsidP="006732A0">
                  <w:r w:rsidRPr="00541A4C">
                    <w:t>Student Success Allocation</w:t>
                  </w:r>
                </w:p>
              </w:tc>
              <w:tc>
                <w:tcPr>
                  <w:tcW w:w="5322" w:type="dxa"/>
                  <w:shd w:val="clear" w:color="auto" w:fill="FFFFFF" w:themeFill="background1"/>
                </w:tcPr>
                <w:p w14:paraId="3F4C26A0" w14:textId="77777777" w:rsidR="006732A0" w:rsidRPr="00541A4C" w:rsidRDefault="006732A0" w:rsidP="006732A0">
                  <w:pPr>
                    <w:pStyle w:val="ListParagraph"/>
                    <w:numPr>
                      <w:ilvl w:val="0"/>
                      <w:numId w:val="42"/>
                    </w:numPr>
                    <w:spacing w:after="0" w:line="240" w:lineRule="auto"/>
                    <w:ind w:left="256" w:hanging="180"/>
                    <w:rPr>
                      <w:rFonts w:ascii="Times New Roman" w:hAnsi="Times New Roman" w:cs="Times New Roman"/>
                      <w:sz w:val="24"/>
                      <w:szCs w:val="24"/>
                    </w:rPr>
                  </w:pPr>
                  <w:r w:rsidRPr="00541A4C">
                    <w:rPr>
                      <w:rFonts w:ascii="Times New Roman" w:hAnsi="Times New Roman" w:cs="Times New Roman"/>
                      <w:sz w:val="24"/>
                      <w:szCs w:val="24"/>
                    </w:rPr>
                    <w:t>Associate Degrees</w:t>
                  </w:r>
                </w:p>
                <w:p w14:paraId="6772A196" w14:textId="77777777" w:rsidR="006732A0" w:rsidRPr="00541A4C" w:rsidRDefault="006732A0" w:rsidP="006732A0">
                  <w:pPr>
                    <w:pStyle w:val="ListParagraph"/>
                    <w:numPr>
                      <w:ilvl w:val="0"/>
                      <w:numId w:val="42"/>
                    </w:numPr>
                    <w:spacing w:after="0" w:line="240" w:lineRule="auto"/>
                    <w:ind w:left="256" w:hanging="180"/>
                    <w:rPr>
                      <w:rFonts w:ascii="Times New Roman" w:hAnsi="Times New Roman" w:cs="Times New Roman"/>
                      <w:sz w:val="24"/>
                      <w:szCs w:val="24"/>
                    </w:rPr>
                  </w:pPr>
                  <w:r w:rsidRPr="00541A4C">
                    <w:rPr>
                      <w:rFonts w:ascii="Times New Roman" w:hAnsi="Times New Roman" w:cs="Times New Roman"/>
                      <w:sz w:val="24"/>
                      <w:szCs w:val="24"/>
                    </w:rPr>
                    <w:t>ADTs</w:t>
                  </w:r>
                </w:p>
                <w:p w14:paraId="3352015B" w14:textId="77777777" w:rsidR="006732A0" w:rsidRPr="00541A4C" w:rsidRDefault="006732A0" w:rsidP="006732A0">
                  <w:pPr>
                    <w:pStyle w:val="ListParagraph"/>
                    <w:numPr>
                      <w:ilvl w:val="0"/>
                      <w:numId w:val="42"/>
                    </w:numPr>
                    <w:spacing w:after="0" w:line="240" w:lineRule="auto"/>
                    <w:ind w:left="256" w:hanging="180"/>
                    <w:rPr>
                      <w:rFonts w:ascii="Times New Roman" w:hAnsi="Times New Roman" w:cs="Times New Roman"/>
                      <w:sz w:val="24"/>
                      <w:szCs w:val="24"/>
                    </w:rPr>
                  </w:pPr>
                  <w:r w:rsidRPr="00541A4C">
                    <w:rPr>
                      <w:rFonts w:ascii="Times New Roman" w:hAnsi="Times New Roman" w:cs="Times New Roman"/>
                      <w:sz w:val="24"/>
                      <w:szCs w:val="24"/>
                    </w:rPr>
                    <w:t>9 or more CE units</w:t>
                  </w:r>
                </w:p>
                <w:p w14:paraId="6C0ACC68" w14:textId="77777777" w:rsidR="006732A0" w:rsidRPr="00541A4C" w:rsidRDefault="006732A0" w:rsidP="006732A0">
                  <w:pPr>
                    <w:pStyle w:val="ListParagraph"/>
                    <w:numPr>
                      <w:ilvl w:val="0"/>
                      <w:numId w:val="42"/>
                    </w:numPr>
                    <w:spacing w:after="0" w:line="240" w:lineRule="auto"/>
                    <w:ind w:left="256" w:hanging="180"/>
                    <w:rPr>
                      <w:rFonts w:ascii="Times New Roman" w:hAnsi="Times New Roman" w:cs="Times New Roman"/>
                      <w:sz w:val="24"/>
                      <w:szCs w:val="24"/>
                    </w:rPr>
                  </w:pPr>
                  <w:r w:rsidRPr="00541A4C">
                    <w:rPr>
                      <w:rFonts w:ascii="Times New Roman" w:hAnsi="Times New Roman" w:cs="Times New Roman"/>
                      <w:sz w:val="24"/>
                      <w:szCs w:val="24"/>
                    </w:rPr>
                    <w:t xml:space="preserve">Transfer </w:t>
                  </w:r>
                </w:p>
                <w:p w14:paraId="7550B581" w14:textId="77777777" w:rsidR="006732A0" w:rsidRPr="00541A4C" w:rsidRDefault="006732A0" w:rsidP="006732A0">
                  <w:pPr>
                    <w:pStyle w:val="ListParagraph"/>
                    <w:numPr>
                      <w:ilvl w:val="0"/>
                      <w:numId w:val="42"/>
                    </w:numPr>
                    <w:spacing w:after="0" w:line="240" w:lineRule="auto"/>
                    <w:ind w:left="256" w:hanging="180"/>
                    <w:rPr>
                      <w:rFonts w:ascii="Times New Roman" w:hAnsi="Times New Roman" w:cs="Times New Roman"/>
                      <w:sz w:val="24"/>
                      <w:szCs w:val="24"/>
                    </w:rPr>
                  </w:pPr>
                  <w:r w:rsidRPr="00541A4C">
                    <w:rPr>
                      <w:rFonts w:ascii="Times New Roman" w:hAnsi="Times New Roman" w:cs="Times New Roman"/>
                      <w:sz w:val="24"/>
                      <w:szCs w:val="24"/>
                    </w:rPr>
                    <w:t>Transfer level Math and English in the first year</w:t>
                  </w:r>
                </w:p>
              </w:tc>
            </w:tr>
          </w:tbl>
          <w:p w14:paraId="4BB4D27C" w14:textId="089F5674" w:rsidR="006732A0" w:rsidRPr="00541A4C" w:rsidRDefault="006732A0" w:rsidP="004420AB"/>
        </w:tc>
      </w:tr>
      <w:tr w:rsidR="004420AB" w:rsidRPr="00541A4C" w14:paraId="373759C2" w14:textId="77777777" w:rsidTr="00E35ADB">
        <w:tc>
          <w:tcPr>
            <w:tcW w:w="9926" w:type="dxa"/>
            <w:shd w:val="clear" w:color="auto" w:fill="auto"/>
          </w:tcPr>
          <w:p w14:paraId="2644C49C" w14:textId="265834A2" w:rsidR="004420AB" w:rsidRPr="00541A4C" w:rsidRDefault="004420AB" w:rsidP="004420AB">
            <w:r w:rsidRPr="00541A4C">
              <w:rPr>
                <w:b/>
                <w:bCs/>
              </w:rPr>
              <w:t xml:space="preserve">List the department’s progress and reflection on what is being done to maintain or increase the base level of </w:t>
            </w:r>
            <w:r w:rsidR="006D2FE1" w:rsidRPr="00541A4C">
              <w:rPr>
                <w:b/>
                <w:bCs/>
              </w:rPr>
              <w:t>full-time equivalent students (</w:t>
            </w:r>
            <w:r w:rsidRPr="00541A4C">
              <w:rPr>
                <w:b/>
                <w:bCs/>
              </w:rPr>
              <w:t>FTES</w:t>
            </w:r>
            <w:r w:rsidR="006D2FE1" w:rsidRPr="00541A4C">
              <w:rPr>
                <w:b/>
                <w:bCs/>
              </w:rPr>
              <w:t xml:space="preserve"> = 12 units)</w:t>
            </w:r>
            <w:r w:rsidRPr="00541A4C">
              <w:rPr>
                <w:b/>
                <w:bCs/>
              </w:rPr>
              <w:t xml:space="preserve">.  Please describe retention </w:t>
            </w:r>
            <w:r w:rsidR="00792442" w:rsidRPr="00541A4C">
              <w:rPr>
                <w:b/>
                <w:bCs/>
              </w:rPr>
              <w:t xml:space="preserve">(i.e., remain enrolled for a full semester) </w:t>
            </w:r>
            <w:r w:rsidRPr="00541A4C">
              <w:rPr>
                <w:b/>
                <w:bCs/>
              </w:rPr>
              <w:t>and persistence</w:t>
            </w:r>
            <w:r w:rsidR="00792442" w:rsidRPr="00541A4C">
              <w:rPr>
                <w:b/>
                <w:bCs/>
              </w:rPr>
              <w:t xml:space="preserve"> (i.e., enroll in consecutive semesters) </w:t>
            </w:r>
            <w:r w:rsidRPr="00541A4C">
              <w:rPr>
                <w:b/>
                <w:bCs/>
              </w:rPr>
              <w:t xml:space="preserve">efforts.  </w:t>
            </w:r>
          </w:p>
        </w:tc>
      </w:tr>
      <w:tr w:rsidR="004420AB" w:rsidRPr="00541A4C" w14:paraId="4A2DD9AE" w14:textId="77777777" w:rsidTr="00821912">
        <w:tc>
          <w:tcPr>
            <w:tcW w:w="9926" w:type="dxa"/>
            <w:shd w:val="clear" w:color="auto" w:fill="FFF2CC" w:themeFill="accent4" w:themeFillTint="33"/>
          </w:tcPr>
          <w:p w14:paraId="35F342F4" w14:textId="60CB5423" w:rsidR="004420AB" w:rsidRPr="00541A4C" w:rsidRDefault="009D7625" w:rsidP="004420AB">
            <w:r w:rsidRPr="00541A4C">
              <w:t>The program in Ethnic Studies emphasizes decolonial, intersectional, and relational approaches to the field, in our pedagogy, including course design and materials, as we view education as a means to our collective liberation. Our efforts towards retention and persistence stem from this perspective, as we seek to create a space welcoming and supportive of our students across their experiences and backgrounds. Instructors in ETHST + speak to the social and affective domain, i.e. creating a sense of community and supporting students’ interpersonal and emotional needs, as important to these goals.</w:t>
            </w:r>
          </w:p>
          <w:p w14:paraId="44951751" w14:textId="26AC60CF" w:rsidR="009D7625" w:rsidRPr="00541A4C" w:rsidRDefault="009D7625" w:rsidP="004420AB"/>
          <w:p w14:paraId="3E0AABA2" w14:textId="77777777" w:rsidR="009D7625" w:rsidRPr="00541A4C" w:rsidRDefault="009D7625" w:rsidP="004420AB"/>
          <w:p w14:paraId="0511EABB" w14:textId="77777777" w:rsidR="009D7625" w:rsidRPr="00541A4C" w:rsidRDefault="009D7625" w:rsidP="004420AB"/>
          <w:p w14:paraId="1CD59E7D" w14:textId="77777777" w:rsidR="004420AB" w:rsidRPr="00541A4C" w:rsidRDefault="004420AB" w:rsidP="004420AB"/>
        </w:tc>
      </w:tr>
      <w:tr w:rsidR="001E0C5C" w:rsidRPr="00541A4C" w14:paraId="30D0AB06" w14:textId="77777777" w:rsidTr="006F33C1">
        <w:trPr>
          <w:trHeight w:val="2879"/>
        </w:trPr>
        <w:tc>
          <w:tcPr>
            <w:tcW w:w="9926" w:type="dxa"/>
            <w:shd w:val="clear" w:color="auto" w:fill="auto"/>
          </w:tcPr>
          <w:p w14:paraId="3FA910B2" w14:textId="1980B03F" w:rsidR="001E0C5C" w:rsidRPr="00541A4C" w:rsidRDefault="001E0C5C" w:rsidP="001E0C5C">
            <w:pPr>
              <w:rPr>
                <w:b/>
                <w:bCs/>
              </w:rPr>
            </w:pPr>
            <w:r w:rsidRPr="00541A4C">
              <w:rPr>
                <w:b/>
                <w:bCs/>
              </w:rPr>
              <w:lastRenderedPageBreak/>
              <w:t xml:space="preserve">Please describe your </w:t>
            </w:r>
            <w:r w:rsidR="006D2FE1" w:rsidRPr="00541A4C">
              <w:rPr>
                <w:b/>
                <w:bCs/>
              </w:rPr>
              <w:t>department</w:t>
            </w:r>
            <w:r w:rsidRPr="00541A4C">
              <w:rPr>
                <w:b/>
                <w:bCs/>
              </w:rPr>
              <w:t xml:space="preserve">’s efforts in identifying Pell Grant recipients, College Promise Grant recipients, </w:t>
            </w:r>
            <w:r w:rsidR="006D2FE1" w:rsidRPr="00541A4C">
              <w:rPr>
                <w:b/>
                <w:bCs/>
              </w:rPr>
              <w:t xml:space="preserve">Adult Education, </w:t>
            </w:r>
            <w:r w:rsidRPr="00541A4C">
              <w:rPr>
                <w:b/>
                <w:bCs/>
              </w:rPr>
              <w:t>and AB 540 students.  What processes are in place to accurately report these students each semester?</w:t>
            </w:r>
          </w:p>
          <w:p w14:paraId="53F258AD" w14:textId="77777777" w:rsidR="001E0C5C" w:rsidRPr="00541A4C" w:rsidRDefault="001E0C5C" w:rsidP="001E0C5C">
            <w:pPr>
              <w:rPr>
                <w:b/>
                <w:bCs/>
              </w:rPr>
            </w:pPr>
          </w:p>
          <w:tbl>
            <w:tblPr>
              <w:tblW w:w="4905" w:type="pct"/>
              <w:tblLook w:val="04A0" w:firstRow="1" w:lastRow="0" w:firstColumn="1" w:lastColumn="0" w:noHBand="0" w:noVBand="1"/>
            </w:tblPr>
            <w:tblGrid>
              <w:gridCol w:w="3936"/>
              <w:gridCol w:w="1369"/>
              <w:gridCol w:w="1312"/>
              <w:gridCol w:w="1405"/>
              <w:gridCol w:w="1494"/>
            </w:tblGrid>
            <w:tr w:rsidR="001E0C5C" w:rsidRPr="00541A4C" w14:paraId="73250F52" w14:textId="77777777" w:rsidTr="00666C88">
              <w:trPr>
                <w:trHeight w:val="320"/>
              </w:trPr>
              <w:tc>
                <w:tcPr>
                  <w:tcW w:w="1991" w:type="pct"/>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1340C0CA" w14:textId="77777777" w:rsidR="001E0C5C" w:rsidRPr="00541A4C" w:rsidRDefault="001E0C5C" w:rsidP="001E0C5C">
                  <w:pPr>
                    <w:rPr>
                      <w:b/>
                      <w:bCs/>
                      <w:color w:val="000000" w:themeColor="text1"/>
                    </w:rPr>
                  </w:pPr>
                  <w:r w:rsidRPr="00541A4C">
                    <w:rPr>
                      <w:b/>
                      <w:bCs/>
                      <w:color w:val="000000" w:themeColor="text1"/>
                    </w:rPr>
                    <w:t>College Outcomes</w:t>
                  </w:r>
                </w:p>
              </w:tc>
              <w:tc>
                <w:tcPr>
                  <w:tcW w:w="739" w:type="pct"/>
                  <w:tcBorders>
                    <w:top w:val="single" w:sz="4" w:space="0" w:color="auto"/>
                    <w:left w:val="nil"/>
                    <w:bottom w:val="single" w:sz="4" w:space="0" w:color="auto"/>
                    <w:right w:val="single" w:sz="4" w:space="0" w:color="auto"/>
                  </w:tcBorders>
                  <w:shd w:val="clear" w:color="auto" w:fill="A2E4D0"/>
                  <w:noWrap/>
                  <w:vAlign w:val="bottom"/>
                  <w:hideMark/>
                </w:tcPr>
                <w:p w14:paraId="3630B3FD" w14:textId="77777777" w:rsidR="001E0C5C" w:rsidRPr="00541A4C" w:rsidRDefault="001E0C5C" w:rsidP="001E0C5C">
                  <w:pPr>
                    <w:jc w:val="center"/>
                    <w:rPr>
                      <w:b/>
                      <w:bCs/>
                      <w:color w:val="000000" w:themeColor="text1"/>
                    </w:rPr>
                  </w:pPr>
                  <w:r w:rsidRPr="00541A4C">
                    <w:rPr>
                      <w:b/>
                      <w:bCs/>
                      <w:color w:val="000000" w:themeColor="text1"/>
                    </w:rPr>
                    <w:t>2018-2019</w:t>
                  </w:r>
                </w:p>
              </w:tc>
              <w:tc>
                <w:tcPr>
                  <w:tcW w:w="709" w:type="pct"/>
                  <w:tcBorders>
                    <w:top w:val="single" w:sz="4" w:space="0" w:color="auto"/>
                    <w:left w:val="nil"/>
                    <w:bottom w:val="single" w:sz="4" w:space="0" w:color="auto"/>
                    <w:right w:val="single" w:sz="4" w:space="0" w:color="auto"/>
                  </w:tcBorders>
                  <w:shd w:val="clear" w:color="auto" w:fill="A2E4D0"/>
                  <w:noWrap/>
                  <w:vAlign w:val="bottom"/>
                  <w:hideMark/>
                </w:tcPr>
                <w:p w14:paraId="0575CA01" w14:textId="77777777" w:rsidR="001E0C5C" w:rsidRPr="00541A4C" w:rsidRDefault="001E0C5C" w:rsidP="001E0C5C">
                  <w:pPr>
                    <w:jc w:val="center"/>
                    <w:rPr>
                      <w:b/>
                      <w:bCs/>
                      <w:color w:val="000000" w:themeColor="text1"/>
                    </w:rPr>
                  </w:pPr>
                  <w:r w:rsidRPr="00541A4C">
                    <w:rPr>
                      <w:b/>
                      <w:bCs/>
                      <w:color w:val="000000" w:themeColor="text1"/>
                    </w:rPr>
                    <w:t>2019-2020</w:t>
                  </w:r>
                </w:p>
              </w:tc>
              <w:tc>
                <w:tcPr>
                  <w:tcW w:w="757" w:type="pct"/>
                  <w:tcBorders>
                    <w:top w:val="single" w:sz="4" w:space="0" w:color="auto"/>
                    <w:left w:val="nil"/>
                    <w:bottom w:val="single" w:sz="4" w:space="0" w:color="auto"/>
                    <w:right w:val="single" w:sz="4" w:space="0" w:color="auto"/>
                  </w:tcBorders>
                  <w:shd w:val="clear" w:color="auto" w:fill="A2E4D0"/>
                  <w:noWrap/>
                  <w:vAlign w:val="bottom"/>
                  <w:hideMark/>
                </w:tcPr>
                <w:p w14:paraId="12D33AB8" w14:textId="77777777" w:rsidR="001E0C5C" w:rsidRPr="00541A4C" w:rsidRDefault="001E0C5C" w:rsidP="001E0C5C">
                  <w:pPr>
                    <w:jc w:val="center"/>
                    <w:rPr>
                      <w:b/>
                      <w:bCs/>
                      <w:color w:val="000000" w:themeColor="text1"/>
                    </w:rPr>
                  </w:pPr>
                  <w:r w:rsidRPr="00541A4C">
                    <w:rPr>
                      <w:b/>
                      <w:bCs/>
                      <w:color w:val="000000" w:themeColor="text1"/>
                    </w:rPr>
                    <w:t>2020-21</w:t>
                  </w:r>
                </w:p>
              </w:tc>
              <w:tc>
                <w:tcPr>
                  <w:tcW w:w="804" w:type="pct"/>
                  <w:tcBorders>
                    <w:top w:val="single" w:sz="4" w:space="0" w:color="auto"/>
                    <w:left w:val="nil"/>
                    <w:bottom w:val="single" w:sz="4" w:space="0" w:color="auto"/>
                    <w:right w:val="single" w:sz="4" w:space="0" w:color="auto"/>
                  </w:tcBorders>
                  <w:shd w:val="clear" w:color="auto" w:fill="A2E4D0"/>
                  <w:vAlign w:val="bottom"/>
                </w:tcPr>
                <w:p w14:paraId="4C805AB7" w14:textId="77777777" w:rsidR="001E0C5C" w:rsidRPr="00541A4C" w:rsidRDefault="001E0C5C" w:rsidP="001E0C5C">
                  <w:pPr>
                    <w:jc w:val="center"/>
                    <w:rPr>
                      <w:b/>
                      <w:bCs/>
                      <w:color w:val="000000" w:themeColor="text1"/>
                    </w:rPr>
                  </w:pPr>
                  <w:r w:rsidRPr="00541A4C">
                    <w:rPr>
                      <w:b/>
                      <w:bCs/>
                      <w:color w:val="000000" w:themeColor="text1"/>
                    </w:rPr>
                    <w:t>2021-22</w:t>
                  </w:r>
                </w:p>
              </w:tc>
            </w:tr>
            <w:tr w:rsidR="001E0C5C" w:rsidRPr="00541A4C" w14:paraId="729B7F3E" w14:textId="77777777" w:rsidTr="00666C88">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6FC9ABC1" w14:textId="77777777" w:rsidR="001E0C5C" w:rsidRPr="00541A4C" w:rsidRDefault="001E0C5C" w:rsidP="001E0C5C">
                  <w:pPr>
                    <w:rPr>
                      <w:color w:val="000000"/>
                    </w:rPr>
                  </w:pPr>
                  <w:r w:rsidRPr="00541A4C">
                    <w:rPr>
                      <w:color w:val="000000"/>
                    </w:rPr>
                    <w:t>Full Time Equivalent Students (FTES)</w:t>
                  </w:r>
                </w:p>
              </w:tc>
              <w:tc>
                <w:tcPr>
                  <w:tcW w:w="739" w:type="pct"/>
                  <w:tcBorders>
                    <w:top w:val="nil"/>
                    <w:left w:val="nil"/>
                    <w:bottom w:val="single" w:sz="4" w:space="0" w:color="auto"/>
                    <w:right w:val="single" w:sz="4" w:space="0" w:color="auto"/>
                  </w:tcBorders>
                  <w:shd w:val="clear" w:color="auto" w:fill="auto"/>
                  <w:noWrap/>
                  <w:vAlign w:val="bottom"/>
                  <w:hideMark/>
                </w:tcPr>
                <w:p w14:paraId="26CF0BC4" w14:textId="77777777" w:rsidR="001E0C5C" w:rsidRPr="00541A4C" w:rsidRDefault="001E0C5C" w:rsidP="001E0C5C">
                  <w:pPr>
                    <w:jc w:val="center"/>
                    <w:rPr>
                      <w:color w:val="000000"/>
                    </w:rPr>
                  </w:pPr>
                  <w:r w:rsidRPr="00541A4C">
                    <w:rPr>
                      <w:color w:val="000000"/>
                    </w:rPr>
                    <w:t>4,161</w:t>
                  </w:r>
                </w:p>
              </w:tc>
              <w:tc>
                <w:tcPr>
                  <w:tcW w:w="709" w:type="pct"/>
                  <w:tcBorders>
                    <w:top w:val="nil"/>
                    <w:left w:val="nil"/>
                    <w:bottom w:val="single" w:sz="4" w:space="0" w:color="auto"/>
                    <w:right w:val="single" w:sz="4" w:space="0" w:color="auto"/>
                  </w:tcBorders>
                  <w:shd w:val="clear" w:color="auto" w:fill="auto"/>
                  <w:noWrap/>
                  <w:vAlign w:val="bottom"/>
                  <w:hideMark/>
                </w:tcPr>
                <w:p w14:paraId="70033365" w14:textId="77777777" w:rsidR="001E0C5C" w:rsidRPr="00541A4C" w:rsidRDefault="001E0C5C" w:rsidP="001E0C5C">
                  <w:pPr>
                    <w:jc w:val="center"/>
                    <w:rPr>
                      <w:color w:val="000000"/>
                    </w:rPr>
                  </w:pPr>
                  <w:r w:rsidRPr="00541A4C">
                    <w:rPr>
                      <w:color w:val="000000"/>
                    </w:rPr>
                    <w:t>3,931</w:t>
                  </w:r>
                </w:p>
              </w:tc>
              <w:tc>
                <w:tcPr>
                  <w:tcW w:w="757" w:type="pct"/>
                  <w:tcBorders>
                    <w:top w:val="nil"/>
                    <w:left w:val="nil"/>
                    <w:bottom w:val="single" w:sz="4" w:space="0" w:color="auto"/>
                    <w:right w:val="single" w:sz="4" w:space="0" w:color="auto"/>
                  </w:tcBorders>
                  <w:shd w:val="clear" w:color="auto" w:fill="auto"/>
                  <w:noWrap/>
                  <w:vAlign w:val="bottom"/>
                  <w:hideMark/>
                </w:tcPr>
                <w:p w14:paraId="45D797B0" w14:textId="77777777" w:rsidR="001E0C5C" w:rsidRPr="00541A4C" w:rsidRDefault="001E0C5C" w:rsidP="001E0C5C">
                  <w:pPr>
                    <w:jc w:val="center"/>
                    <w:rPr>
                      <w:color w:val="000000"/>
                    </w:rPr>
                  </w:pPr>
                  <w:r w:rsidRPr="00541A4C">
                    <w:rPr>
                      <w:color w:val="000000"/>
                    </w:rPr>
                    <w:t>3,622</w:t>
                  </w:r>
                </w:p>
              </w:tc>
              <w:tc>
                <w:tcPr>
                  <w:tcW w:w="804" w:type="pct"/>
                  <w:tcBorders>
                    <w:top w:val="nil"/>
                    <w:left w:val="nil"/>
                    <w:bottom w:val="single" w:sz="4" w:space="0" w:color="auto"/>
                    <w:right w:val="single" w:sz="4" w:space="0" w:color="auto"/>
                  </w:tcBorders>
                  <w:shd w:val="clear" w:color="auto" w:fill="auto"/>
                  <w:vAlign w:val="bottom"/>
                </w:tcPr>
                <w:p w14:paraId="7AE30749" w14:textId="77777777" w:rsidR="001E0C5C" w:rsidRPr="00541A4C" w:rsidRDefault="001E0C5C" w:rsidP="001E0C5C">
                  <w:pPr>
                    <w:jc w:val="center"/>
                    <w:rPr>
                      <w:color w:val="000000"/>
                    </w:rPr>
                  </w:pPr>
                  <w:r w:rsidRPr="00541A4C">
                    <w:rPr>
                      <w:color w:val="000000"/>
                    </w:rPr>
                    <w:t>3,259</w:t>
                  </w:r>
                </w:p>
              </w:tc>
            </w:tr>
            <w:tr w:rsidR="00E35A65" w:rsidRPr="00541A4C" w14:paraId="14E211C2"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526D53F3" w14:textId="77777777" w:rsidR="00E35A65" w:rsidRPr="00541A4C" w:rsidRDefault="00E35A65" w:rsidP="00E35A65">
                  <w:pPr>
                    <w:rPr>
                      <w:color w:val="000000"/>
                    </w:rPr>
                  </w:pPr>
                  <w:r w:rsidRPr="00541A4C">
                    <w:rPr>
                      <w:color w:val="000000"/>
                    </w:rPr>
                    <w:t>Pell Grant Recipients</w:t>
                  </w:r>
                </w:p>
              </w:tc>
              <w:tc>
                <w:tcPr>
                  <w:tcW w:w="739" w:type="pct"/>
                  <w:tcBorders>
                    <w:top w:val="nil"/>
                    <w:left w:val="nil"/>
                    <w:bottom w:val="single" w:sz="4" w:space="0" w:color="auto"/>
                    <w:right w:val="single" w:sz="4" w:space="0" w:color="auto"/>
                  </w:tcBorders>
                  <w:shd w:val="clear" w:color="auto" w:fill="auto"/>
                  <w:noWrap/>
                  <w:vAlign w:val="bottom"/>
                </w:tcPr>
                <w:p w14:paraId="473A76CE" w14:textId="2569CA53" w:rsidR="00E35A65" w:rsidRPr="00541A4C" w:rsidRDefault="00E35A65" w:rsidP="00E35A65">
                  <w:pPr>
                    <w:jc w:val="center"/>
                    <w:rPr>
                      <w:color w:val="000000"/>
                    </w:rPr>
                  </w:pPr>
                  <w:r w:rsidRPr="00541A4C">
                    <w:rPr>
                      <w:color w:val="000000"/>
                    </w:rPr>
                    <w:t>2,387</w:t>
                  </w:r>
                </w:p>
              </w:tc>
              <w:tc>
                <w:tcPr>
                  <w:tcW w:w="709" w:type="pct"/>
                  <w:tcBorders>
                    <w:top w:val="nil"/>
                    <w:left w:val="nil"/>
                    <w:bottom w:val="single" w:sz="4" w:space="0" w:color="auto"/>
                    <w:right w:val="single" w:sz="4" w:space="0" w:color="auto"/>
                  </w:tcBorders>
                  <w:shd w:val="clear" w:color="auto" w:fill="auto"/>
                  <w:noWrap/>
                  <w:vAlign w:val="bottom"/>
                  <w:hideMark/>
                </w:tcPr>
                <w:p w14:paraId="28EC9B66" w14:textId="6683A3D2" w:rsidR="00E35A65" w:rsidRPr="00541A4C" w:rsidRDefault="00E35A65" w:rsidP="00E35A65">
                  <w:pPr>
                    <w:jc w:val="center"/>
                    <w:rPr>
                      <w:color w:val="000000"/>
                    </w:rPr>
                  </w:pPr>
                  <w:r w:rsidRPr="00541A4C">
                    <w:rPr>
                      <w:color w:val="000000"/>
                    </w:rPr>
                    <w:t>2,281</w:t>
                  </w:r>
                </w:p>
              </w:tc>
              <w:tc>
                <w:tcPr>
                  <w:tcW w:w="757" w:type="pct"/>
                  <w:tcBorders>
                    <w:top w:val="nil"/>
                    <w:left w:val="nil"/>
                    <w:bottom w:val="single" w:sz="4" w:space="0" w:color="auto"/>
                    <w:right w:val="single" w:sz="4" w:space="0" w:color="auto"/>
                  </w:tcBorders>
                  <w:shd w:val="clear" w:color="auto" w:fill="auto"/>
                  <w:noWrap/>
                  <w:vAlign w:val="bottom"/>
                  <w:hideMark/>
                </w:tcPr>
                <w:p w14:paraId="18125460" w14:textId="6330AF0A" w:rsidR="00E35A65" w:rsidRPr="00541A4C" w:rsidRDefault="00E35A65" w:rsidP="00E35A65">
                  <w:pPr>
                    <w:jc w:val="center"/>
                    <w:rPr>
                      <w:color w:val="000000"/>
                    </w:rPr>
                  </w:pPr>
                  <w:r w:rsidRPr="00541A4C">
                    <w:rPr>
                      <w:color w:val="000000"/>
                    </w:rPr>
                    <w:t>2,181</w:t>
                  </w:r>
                </w:p>
              </w:tc>
              <w:tc>
                <w:tcPr>
                  <w:tcW w:w="804" w:type="pct"/>
                  <w:tcBorders>
                    <w:top w:val="nil"/>
                    <w:left w:val="nil"/>
                    <w:bottom w:val="single" w:sz="4" w:space="0" w:color="auto"/>
                    <w:right w:val="single" w:sz="4" w:space="0" w:color="auto"/>
                  </w:tcBorders>
                  <w:shd w:val="clear" w:color="auto" w:fill="auto"/>
                  <w:vAlign w:val="bottom"/>
                </w:tcPr>
                <w:p w14:paraId="123BA2D2" w14:textId="5DB80738" w:rsidR="00E35A65" w:rsidRPr="00541A4C" w:rsidRDefault="00E35A65" w:rsidP="00E35A65">
                  <w:pPr>
                    <w:jc w:val="center"/>
                    <w:rPr>
                      <w:color w:val="000000"/>
                    </w:rPr>
                  </w:pPr>
                  <w:r w:rsidRPr="00541A4C">
                    <w:rPr>
                      <w:color w:val="000000"/>
                    </w:rPr>
                    <w:t>1,826</w:t>
                  </w:r>
                </w:p>
              </w:tc>
            </w:tr>
            <w:tr w:rsidR="00E35A65" w:rsidRPr="00541A4C" w14:paraId="7660F119"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3FCFED2F" w14:textId="77777777" w:rsidR="00E35A65" w:rsidRPr="00541A4C" w:rsidRDefault="00E35A65" w:rsidP="00E35A65">
                  <w:pPr>
                    <w:rPr>
                      <w:color w:val="000000"/>
                    </w:rPr>
                  </w:pPr>
                  <w:r w:rsidRPr="00541A4C">
                    <w:rPr>
                      <w:color w:val="000000"/>
                    </w:rPr>
                    <w:t>College Promise Grant Recipients</w:t>
                  </w:r>
                </w:p>
              </w:tc>
              <w:tc>
                <w:tcPr>
                  <w:tcW w:w="739" w:type="pct"/>
                  <w:tcBorders>
                    <w:top w:val="nil"/>
                    <w:left w:val="nil"/>
                    <w:bottom w:val="single" w:sz="4" w:space="0" w:color="auto"/>
                    <w:right w:val="single" w:sz="4" w:space="0" w:color="auto"/>
                  </w:tcBorders>
                  <w:shd w:val="clear" w:color="auto" w:fill="auto"/>
                  <w:noWrap/>
                  <w:vAlign w:val="bottom"/>
                </w:tcPr>
                <w:p w14:paraId="26CAF646" w14:textId="5A3856ED" w:rsidR="00E35A65" w:rsidRPr="00541A4C" w:rsidRDefault="00E35A65" w:rsidP="004527CF">
                  <w:pPr>
                    <w:jc w:val="center"/>
                    <w:rPr>
                      <w:color w:val="000000"/>
                    </w:rPr>
                  </w:pPr>
                  <w:r w:rsidRPr="00541A4C">
                    <w:rPr>
                      <w:color w:val="000000"/>
                    </w:rPr>
                    <w:t>4,373</w:t>
                  </w:r>
                </w:p>
              </w:tc>
              <w:tc>
                <w:tcPr>
                  <w:tcW w:w="709" w:type="pct"/>
                  <w:tcBorders>
                    <w:top w:val="nil"/>
                    <w:left w:val="nil"/>
                    <w:bottom w:val="single" w:sz="4" w:space="0" w:color="auto"/>
                    <w:right w:val="single" w:sz="4" w:space="0" w:color="auto"/>
                  </w:tcBorders>
                  <w:shd w:val="clear" w:color="auto" w:fill="auto"/>
                  <w:noWrap/>
                  <w:vAlign w:val="bottom"/>
                  <w:hideMark/>
                </w:tcPr>
                <w:p w14:paraId="535698DF" w14:textId="3E6BA065" w:rsidR="00E35A65" w:rsidRPr="00541A4C" w:rsidRDefault="00E35A65" w:rsidP="00E35A65">
                  <w:pPr>
                    <w:jc w:val="center"/>
                    <w:rPr>
                      <w:color w:val="000000"/>
                    </w:rPr>
                  </w:pPr>
                  <w:r w:rsidRPr="00541A4C">
                    <w:rPr>
                      <w:color w:val="000000"/>
                    </w:rPr>
                    <w:t>4,143</w:t>
                  </w:r>
                </w:p>
              </w:tc>
              <w:tc>
                <w:tcPr>
                  <w:tcW w:w="757" w:type="pct"/>
                  <w:tcBorders>
                    <w:top w:val="nil"/>
                    <w:left w:val="nil"/>
                    <w:bottom w:val="single" w:sz="4" w:space="0" w:color="auto"/>
                    <w:right w:val="single" w:sz="4" w:space="0" w:color="auto"/>
                  </w:tcBorders>
                  <w:shd w:val="clear" w:color="auto" w:fill="auto"/>
                  <w:noWrap/>
                  <w:vAlign w:val="bottom"/>
                  <w:hideMark/>
                </w:tcPr>
                <w:p w14:paraId="3C337AC1" w14:textId="41F52034" w:rsidR="00E35A65" w:rsidRPr="00541A4C" w:rsidRDefault="00E35A65" w:rsidP="00E35A65">
                  <w:pPr>
                    <w:jc w:val="center"/>
                    <w:rPr>
                      <w:color w:val="000000"/>
                    </w:rPr>
                  </w:pPr>
                  <w:r w:rsidRPr="00541A4C">
                    <w:rPr>
                      <w:color w:val="000000"/>
                    </w:rPr>
                    <w:t>4,011</w:t>
                  </w:r>
                </w:p>
              </w:tc>
              <w:tc>
                <w:tcPr>
                  <w:tcW w:w="804" w:type="pct"/>
                  <w:tcBorders>
                    <w:top w:val="nil"/>
                    <w:left w:val="nil"/>
                    <w:bottom w:val="single" w:sz="4" w:space="0" w:color="auto"/>
                    <w:right w:val="single" w:sz="4" w:space="0" w:color="auto"/>
                  </w:tcBorders>
                  <w:shd w:val="clear" w:color="auto" w:fill="auto"/>
                  <w:vAlign w:val="bottom"/>
                </w:tcPr>
                <w:p w14:paraId="1DF90C7E" w14:textId="73E138BD" w:rsidR="00E35A65" w:rsidRPr="00541A4C" w:rsidRDefault="00E35A65" w:rsidP="00E35A65">
                  <w:pPr>
                    <w:jc w:val="center"/>
                    <w:rPr>
                      <w:color w:val="000000"/>
                    </w:rPr>
                  </w:pPr>
                  <w:r w:rsidRPr="00541A4C">
                    <w:rPr>
                      <w:color w:val="000000"/>
                    </w:rPr>
                    <w:t>3,500</w:t>
                  </w:r>
                </w:p>
              </w:tc>
            </w:tr>
            <w:tr w:rsidR="00E35A65" w:rsidRPr="00541A4C" w14:paraId="45745F4A"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000E362F" w14:textId="77777777" w:rsidR="00E35A65" w:rsidRPr="00541A4C" w:rsidRDefault="00E35A65" w:rsidP="00E35A65">
                  <w:pPr>
                    <w:rPr>
                      <w:color w:val="000000"/>
                    </w:rPr>
                  </w:pPr>
                  <w:r w:rsidRPr="00541A4C">
                    <w:rPr>
                      <w:color w:val="000000"/>
                    </w:rPr>
                    <w:t xml:space="preserve">AB 540 Students </w:t>
                  </w:r>
                </w:p>
              </w:tc>
              <w:tc>
                <w:tcPr>
                  <w:tcW w:w="739" w:type="pct"/>
                  <w:tcBorders>
                    <w:top w:val="nil"/>
                    <w:left w:val="nil"/>
                    <w:bottom w:val="single" w:sz="4" w:space="0" w:color="auto"/>
                    <w:right w:val="single" w:sz="4" w:space="0" w:color="auto"/>
                  </w:tcBorders>
                  <w:shd w:val="clear" w:color="auto" w:fill="auto"/>
                  <w:noWrap/>
                  <w:vAlign w:val="bottom"/>
                </w:tcPr>
                <w:p w14:paraId="3C416458" w14:textId="224AA04D" w:rsidR="00E35A65" w:rsidRPr="00541A4C" w:rsidRDefault="00E35A65" w:rsidP="00E35A65">
                  <w:pPr>
                    <w:jc w:val="center"/>
                    <w:rPr>
                      <w:color w:val="000000"/>
                    </w:rPr>
                  </w:pPr>
                  <w:r w:rsidRPr="00541A4C">
                    <w:rPr>
                      <w:color w:val="000000"/>
                    </w:rPr>
                    <w:t>74</w:t>
                  </w:r>
                </w:p>
              </w:tc>
              <w:tc>
                <w:tcPr>
                  <w:tcW w:w="709" w:type="pct"/>
                  <w:tcBorders>
                    <w:top w:val="nil"/>
                    <w:left w:val="nil"/>
                    <w:bottom w:val="single" w:sz="4" w:space="0" w:color="auto"/>
                    <w:right w:val="single" w:sz="4" w:space="0" w:color="auto"/>
                  </w:tcBorders>
                  <w:shd w:val="clear" w:color="auto" w:fill="auto"/>
                  <w:noWrap/>
                  <w:vAlign w:val="bottom"/>
                  <w:hideMark/>
                </w:tcPr>
                <w:p w14:paraId="33B35172" w14:textId="23F46458" w:rsidR="00E35A65" w:rsidRPr="00541A4C" w:rsidRDefault="00E35A65" w:rsidP="00E35A65">
                  <w:pPr>
                    <w:jc w:val="center"/>
                    <w:rPr>
                      <w:color w:val="000000"/>
                    </w:rPr>
                  </w:pPr>
                  <w:r w:rsidRPr="00541A4C">
                    <w:rPr>
                      <w:color w:val="000000"/>
                    </w:rPr>
                    <w:t>51</w:t>
                  </w:r>
                </w:p>
              </w:tc>
              <w:tc>
                <w:tcPr>
                  <w:tcW w:w="757" w:type="pct"/>
                  <w:tcBorders>
                    <w:top w:val="nil"/>
                    <w:left w:val="nil"/>
                    <w:bottom w:val="single" w:sz="4" w:space="0" w:color="auto"/>
                    <w:right w:val="single" w:sz="4" w:space="0" w:color="auto"/>
                  </w:tcBorders>
                  <w:shd w:val="clear" w:color="auto" w:fill="auto"/>
                  <w:noWrap/>
                  <w:vAlign w:val="bottom"/>
                  <w:hideMark/>
                </w:tcPr>
                <w:p w14:paraId="014862DA" w14:textId="71BA4A8C" w:rsidR="00E35A65" w:rsidRPr="00541A4C" w:rsidRDefault="00E35A65" w:rsidP="00E35A65">
                  <w:pPr>
                    <w:jc w:val="center"/>
                    <w:rPr>
                      <w:color w:val="000000"/>
                    </w:rPr>
                  </w:pPr>
                  <w:r w:rsidRPr="00541A4C">
                    <w:rPr>
                      <w:color w:val="000000"/>
                    </w:rPr>
                    <w:t>22</w:t>
                  </w:r>
                </w:p>
              </w:tc>
              <w:tc>
                <w:tcPr>
                  <w:tcW w:w="804" w:type="pct"/>
                  <w:tcBorders>
                    <w:top w:val="nil"/>
                    <w:left w:val="nil"/>
                    <w:bottom w:val="single" w:sz="4" w:space="0" w:color="auto"/>
                    <w:right w:val="single" w:sz="4" w:space="0" w:color="auto"/>
                  </w:tcBorders>
                  <w:shd w:val="clear" w:color="auto" w:fill="auto"/>
                  <w:vAlign w:val="bottom"/>
                </w:tcPr>
                <w:p w14:paraId="5104EFE7" w14:textId="12CAE11C" w:rsidR="00E35A65" w:rsidRPr="00541A4C" w:rsidRDefault="00E35A65" w:rsidP="00E35A65">
                  <w:pPr>
                    <w:jc w:val="center"/>
                    <w:rPr>
                      <w:color w:val="000000"/>
                    </w:rPr>
                  </w:pPr>
                  <w:r w:rsidRPr="00541A4C">
                    <w:rPr>
                      <w:color w:val="000000"/>
                    </w:rPr>
                    <w:t>69</w:t>
                  </w:r>
                </w:p>
              </w:tc>
            </w:tr>
          </w:tbl>
          <w:p w14:paraId="1EE420F2" w14:textId="10F26F6B" w:rsidR="001E0C5C" w:rsidRPr="00541A4C" w:rsidRDefault="001E0C5C" w:rsidP="001E0C5C"/>
        </w:tc>
      </w:tr>
      <w:tr w:rsidR="001E0C5C" w:rsidRPr="00541A4C" w14:paraId="6F515A86" w14:textId="77777777" w:rsidTr="00821912">
        <w:tc>
          <w:tcPr>
            <w:tcW w:w="9926" w:type="dxa"/>
            <w:shd w:val="clear" w:color="auto" w:fill="FFF2CC" w:themeFill="accent4" w:themeFillTint="33"/>
          </w:tcPr>
          <w:p w14:paraId="1C786E2E" w14:textId="77777777" w:rsidR="001E0C5C" w:rsidRPr="00541A4C" w:rsidRDefault="001E0C5C" w:rsidP="001E0C5C"/>
          <w:p w14:paraId="23578335" w14:textId="77777777" w:rsidR="001E0C5C" w:rsidRPr="00541A4C" w:rsidRDefault="001E0C5C" w:rsidP="001E0C5C"/>
        </w:tc>
      </w:tr>
    </w:tbl>
    <w:p w14:paraId="359D97E0" w14:textId="27B3361E" w:rsidR="00106447" w:rsidRPr="00541A4C" w:rsidRDefault="00106447" w:rsidP="00EE3904"/>
    <w:tbl>
      <w:tblPr>
        <w:tblStyle w:val="TableGrid"/>
        <w:tblW w:w="9930" w:type="dxa"/>
        <w:tblLayout w:type="fixed"/>
        <w:tblLook w:val="06A0" w:firstRow="1" w:lastRow="0" w:firstColumn="1" w:lastColumn="0" w:noHBand="1" w:noVBand="1"/>
      </w:tblPr>
      <w:tblGrid>
        <w:gridCol w:w="9930"/>
      </w:tblGrid>
      <w:tr w:rsidR="00106447" w:rsidRPr="00541A4C" w14:paraId="53B3023F" w14:textId="77777777" w:rsidTr="00E35ADB">
        <w:tc>
          <w:tcPr>
            <w:tcW w:w="9930" w:type="dxa"/>
            <w:tcBorders>
              <w:top w:val="single" w:sz="8" w:space="0" w:color="auto"/>
              <w:left w:val="single" w:sz="8" w:space="0" w:color="auto"/>
              <w:bottom w:val="single" w:sz="8" w:space="0" w:color="auto"/>
              <w:right w:val="single" w:sz="8" w:space="0" w:color="auto"/>
            </w:tcBorders>
            <w:shd w:val="clear" w:color="auto" w:fill="009193"/>
          </w:tcPr>
          <w:p w14:paraId="20BF942C" w14:textId="7FF71C48" w:rsidR="00106447" w:rsidRPr="00541A4C" w:rsidRDefault="00C94A73" w:rsidP="00106447">
            <w:pPr>
              <w:rPr>
                <w:b/>
                <w:bCs/>
                <w:color w:val="FFFFFF" w:themeColor="background1"/>
              </w:rPr>
            </w:pPr>
            <w:r w:rsidRPr="00541A4C">
              <w:rPr>
                <w:rFonts w:eastAsia="Calibri"/>
                <w:b/>
                <w:bCs/>
                <w:color w:val="FFFFFF" w:themeColor="background1"/>
              </w:rPr>
              <w:t>3</w:t>
            </w:r>
            <w:r w:rsidR="00064350" w:rsidRPr="00541A4C">
              <w:rPr>
                <w:rFonts w:eastAsia="Calibri"/>
                <w:b/>
                <w:bCs/>
                <w:color w:val="FFFFFF" w:themeColor="background1"/>
              </w:rPr>
              <w:t>b</w:t>
            </w:r>
            <w:r w:rsidR="00106447" w:rsidRPr="00541A4C">
              <w:rPr>
                <w:rFonts w:eastAsia="Calibri"/>
                <w:b/>
                <w:bCs/>
                <w:color w:val="FFFFFF" w:themeColor="background1"/>
              </w:rPr>
              <w:t xml:space="preserve">. </w:t>
            </w:r>
            <w:hyperlink r:id="rId27">
              <w:r w:rsidR="00106447" w:rsidRPr="00541A4C">
                <w:rPr>
                  <w:rStyle w:val="Hyperlink"/>
                  <w:rFonts w:eastAsia="Avenir"/>
                  <w:b/>
                  <w:bCs/>
                  <w:color w:val="FFFFFF" w:themeColor="background1"/>
                </w:rPr>
                <w:t>Course Completion and Retention Rates Dashboard – Instruction</w:t>
              </w:r>
            </w:hyperlink>
          </w:p>
          <w:p w14:paraId="6597FDFF" w14:textId="2E94D148" w:rsidR="00106447" w:rsidRPr="00541A4C" w:rsidRDefault="00106447" w:rsidP="00106447">
            <w:pPr>
              <w:rPr>
                <w:rFonts w:eastAsia="Avenir Black"/>
                <w:color w:val="FFFFFF" w:themeColor="background1"/>
              </w:rPr>
            </w:pPr>
            <w:r w:rsidRPr="00541A4C">
              <w:rPr>
                <w:rFonts w:eastAsia="Avenir Black"/>
                <w:color w:val="FFFFFF" w:themeColor="background1"/>
              </w:rPr>
              <w:t>*Note that completion and retention rates are presented with the inclusion and exc</w:t>
            </w:r>
            <w:r w:rsidR="003A0E51" w:rsidRPr="00541A4C">
              <w:rPr>
                <w:rFonts w:eastAsia="Avenir Black"/>
                <w:color w:val="FFFFFF" w:themeColor="background1"/>
              </w:rPr>
              <w:t>l</w:t>
            </w:r>
            <w:r w:rsidRPr="00541A4C">
              <w:rPr>
                <w:rFonts w:eastAsia="Avenir Black"/>
                <w:color w:val="FFFFFF" w:themeColor="background1"/>
              </w:rPr>
              <w:t>us</w:t>
            </w:r>
            <w:r w:rsidR="003A0E51" w:rsidRPr="00541A4C">
              <w:rPr>
                <w:rFonts w:eastAsia="Avenir Black"/>
                <w:color w:val="FFFFFF" w:themeColor="background1"/>
              </w:rPr>
              <w:t>ion</w:t>
            </w:r>
            <w:r w:rsidRPr="00541A4C">
              <w:rPr>
                <w:rFonts w:eastAsia="Avenir Black"/>
                <w:color w:val="FFFFFF" w:themeColor="background1"/>
              </w:rPr>
              <w:t xml:space="preserve"> </w:t>
            </w:r>
            <w:r w:rsidR="003A0E51" w:rsidRPr="00541A4C">
              <w:rPr>
                <w:rFonts w:eastAsia="Avenir Black"/>
                <w:color w:val="FFFFFF" w:themeColor="background1"/>
              </w:rPr>
              <w:t xml:space="preserve">of excused </w:t>
            </w:r>
            <w:r w:rsidRPr="00541A4C">
              <w:rPr>
                <w:rFonts w:eastAsia="Avenir Black"/>
                <w:color w:val="FFFFFF" w:themeColor="background1"/>
              </w:rPr>
              <w:t xml:space="preserve">withdrawals (EW) and military withdrawals.  </w:t>
            </w:r>
          </w:p>
          <w:p w14:paraId="14452AB8" w14:textId="77777777" w:rsidR="00106447" w:rsidRPr="00541A4C" w:rsidRDefault="00106447" w:rsidP="00106447">
            <w:pPr>
              <w:rPr>
                <w:color w:val="FFFFFF" w:themeColor="background1"/>
              </w:rPr>
            </w:pPr>
          </w:p>
          <w:p w14:paraId="7DCA4481" w14:textId="4604F3BC" w:rsidR="00106447" w:rsidRPr="00541A4C" w:rsidRDefault="00106447" w:rsidP="00FE5757">
            <w:pPr>
              <w:rPr>
                <w:rFonts w:eastAsia="Avenir"/>
              </w:rPr>
            </w:pPr>
            <w:r w:rsidRPr="00541A4C">
              <w:rPr>
                <w:rFonts w:eastAsia="Avenir Black"/>
                <w:color w:val="FFFFFF" w:themeColor="background1"/>
              </w:rPr>
              <w:t>If you need more guidance with this item, click here for additional support.</w:t>
            </w:r>
            <w:r w:rsidRPr="00541A4C">
              <w:rPr>
                <w:rFonts w:eastAsia="Avenir Black"/>
                <w:i/>
                <w:iCs/>
                <w:color w:val="FFFFFF" w:themeColor="background1"/>
              </w:rPr>
              <w:t xml:space="preserve">  </w:t>
            </w:r>
            <w:hyperlink r:id="rId28">
              <w:r w:rsidRPr="00541A4C">
                <w:rPr>
                  <w:rStyle w:val="Hyperlink"/>
                  <w:rFonts w:eastAsia="Avenir Black"/>
                  <w:color w:val="FFFFFF" w:themeColor="background1"/>
                  <w:u w:val="none"/>
                </w:rPr>
                <w:t>Click here for additional guidance for how to view and use equity data</w:t>
              </w:r>
            </w:hyperlink>
            <w:r w:rsidRPr="00541A4C">
              <w:rPr>
                <w:rFonts w:eastAsia="Avenir Black"/>
                <w:color w:val="FFFFFF" w:themeColor="background1"/>
              </w:rPr>
              <w:t xml:space="preserve">.  If you would like to view BCC’s Equity Plan, </w:t>
            </w:r>
            <w:hyperlink r:id="rId29" w:history="1">
              <w:r w:rsidRPr="00541A4C">
                <w:rPr>
                  <w:rStyle w:val="Hyperlink"/>
                  <w:rFonts w:eastAsia="Avenir Black"/>
                  <w:color w:val="FFFFFF" w:themeColor="background1"/>
                  <w:u w:val="none"/>
                </w:rPr>
                <w:t>click here</w:t>
              </w:r>
            </w:hyperlink>
            <w:r w:rsidRPr="00541A4C">
              <w:rPr>
                <w:rFonts w:eastAsia="Avenir Black"/>
                <w:color w:val="FFFFFF" w:themeColor="background1"/>
              </w:rPr>
              <w:t>.</w:t>
            </w:r>
          </w:p>
        </w:tc>
      </w:tr>
      <w:tr w:rsidR="00EE3904" w:rsidRPr="00541A4C" w14:paraId="2B2CD33B"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67C5D297" w14:textId="0C6BC809" w:rsidR="00EE3904" w:rsidRPr="00541A4C" w:rsidRDefault="00EE3904" w:rsidP="000D087A">
            <w:pPr>
              <w:rPr>
                <w:rFonts w:eastAsiaTheme="minorEastAsia"/>
                <w:b/>
                <w:bCs/>
                <w:color w:val="000000" w:themeColor="text1"/>
              </w:rPr>
            </w:pPr>
            <w:r w:rsidRPr="00541A4C">
              <w:rPr>
                <w:rFonts w:eastAsia="Calibri"/>
                <w:b/>
                <w:bCs/>
              </w:rPr>
              <w:t xml:space="preserve">On page 3 of the “Course Completion and Retention Rates by Subject” dashboard, what are the completion and retention trends by gender, age, ethnicity in your department?  </w:t>
            </w:r>
          </w:p>
        </w:tc>
      </w:tr>
      <w:tr w:rsidR="00106447" w:rsidRPr="00541A4C" w14:paraId="6E788836"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25F59C77" w14:textId="3AA7B58D" w:rsidR="00A951AB" w:rsidRPr="00541A4C" w:rsidRDefault="00A951AB" w:rsidP="00FE5757">
            <w:pPr>
              <w:rPr>
                <w:rFonts w:eastAsia="Avenir"/>
                <w:bCs/>
              </w:rPr>
            </w:pPr>
            <w:r w:rsidRPr="00541A4C">
              <w:rPr>
                <w:rFonts w:eastAsia="Avenir"/>
                <w:bCs/>
              </w:rPr>
              <w:t>Course completion and retention across the previous three years rates reflect national trends in higher education. That is, overall, there is a pandemic-related decrease in numbers as well as completion and retention rates. Once aggregated, we find that students who identify as female outnumber and outperform those identified as male; those who are gender-nonconforming, identified as X, represent a small but steadily growing population of our students. Completion and retention rates across gender categories remain almost identical when compared year-to-year, 2021-2022 to 2020-2021.</w:t>
            </w:r>
          </w:p>
          <w:p w14:paraId="4EECA86E" w14:textId="6806655E" w:rsidR="004307C5" w:rsidRPr="00541A4C" w:rsidRDefault="004307C5" w:rsidP="00FE5757">
            <w:pPr>
              <w:rPr>
                <w:rFonts w:eastAsia="Avenir"/>
                <w:bCs/>
              </w:rPr>
            </w:pPr>
          </w:p>
          <w:p w14:paraId="0466E6CF" w14:textId="1B35AD69" w:rsidR="00A951AB" w:rsidRPr="00541A4C" w:rsidRDefault="004307C5" w:rsidP="00FE5757">
            <w:pPr>
              <w:rPr>
                <w:rFonts w:eastAsia="Avenir"/>
                <w:bCs/>
              </w:rPr>
            </w:pPr>
            <w:r w:rsidRPr="00541A4C">
              <w:rPr>
                <w:rFonts w:eastAsia="Avenir"/>
                <w:bCs/>
              </w:rPr>
              <w:t>Across age we find the majority of our students in the 19-24 cohort, followed by those in the 16-18 group</w:t>
            </w:r>
            <w:r w:rsidR="003A4957" w:rsidRPr="00541A4C">
              <w:rPr>
                <w:rFonts w:eastAsia="Avenir"/>
                <w:bCs/>
              </w:rPr>
              <w:t xml:space="preserve"> as of 2021-2022</w:t>
            </w:r>
            <w:r w:rsidRPr="00541A4C">
              <w:rPr>
                <w:rFonts w:eastAsia="Avenir"/>
                <w:bCs/>
              </w:rPr>
              <w:t>.</w:t>
            </w:r>
            <w:r w:rsidR="003A4957" w:rsidRPr="00541A4C">
              <w:rPr>
                <w:rFonts w:eastAsia="Avenir"/>
                <w:bCs/>
              </w:rPr>
              <w:t xml:space="preserve"> The 16-18 group appears to be the fastest growing category, as the 25-29 group surpassed their numbers in prior years. This trend is one we expect to </w:t>
            </w:r>
            <w:proofErr w:type="gramStart"/>
            <w:r w:rsidR="003A4957" w:rsidRPr="00541A4C">
              <w:rPr>
                <w:rFonts w:eastAsia="Avenir"/>
                <w:bCs/>
              </w:rPr>
              <w:t>continue,</w:t>
            </w:r>
            <w:proofErr w:type="gramEnd"/>
            <w:r w:rsidR="003A4957" w:rsidRPr="00541A4C">
              <w:rPr>
                <w:rFonts w:eastAsia="Avenir"/>
                <w:bCs/>
              </w:rPr>
              <w:t xml:space="preserve"> especially as dual enrollment continues to expand. However, we also feel it important to keep a place open for those students 25 and older, including the ‘lifelong learners’ who are not necessarily supported in current funding models. </w:t>
            </w:r>
          </w:p>
          <w:p w14:paraId="754A6072" w14:textId="4162FB50" w:rsidR="003A4957" w:rsidRPr="00541A4C" w:rsidRDefault="003A4957" w:rsidP="00FE5757">
            <w:pPr>
              <w:rPr>
                <w:rFonts w:eastAsia="Avenir"/>
                <w:bCs/>
              </w:rPr>
            </w:pPr>
          </w:p>
          <w:p w14:paraId="0D4FF652" w14:textId="28871621" w:rsidR="003A4957" w:rsidRPr="00541A4C" w:rsidRDefault="003A4957" w:rsidP="00FE5757">
            <w:pPr>
              <w:rPr>
                <w:rFonts w:eastAsia="Avenir"/>
                <w:bCs/>
              </w:rPr>
            </w:pPr>
            <w:r w:rsidRPr="00541A4C">
              <w:rPr>
                <w:rFonts w:eastAsia="Avenir"/>
                <w:bCs/>
              </w:rPr>
              <w:t xml:space="preserve">When aggregated by race, the completion rates of white students dropped the most during the </w:t>
            </w:r>
            <w:proofErr w:type="gramStart"/>
            <w:r w:rsidRPr="00541A4C">
              <w:rPr>
                <w:rFonts w:eastAsia="Avenir"/>
                <w:bCs/>
              </w:rPr>
              <w:t>three year</w:t>
            </w:r>
            <w:proofErr w:type="gramEnd"/>
            <w:r w:rsidRPr="00541A4C">
              <w:rPr>
                <w:rFonts w:eastAsia="Avenir"/>
                <w:bCs/>
              </w:rPr>
              <w:t xml:space="preserve"> time span, in spite of their enrollment increasing. </w:t>
            </w:r>
          </w:p>
          <w:p w14:paraId="3D219F9D" w14:textId="11955AA4" w:rsidR="009D7625" w:rsidRDefault="009D7625" w:rsidP="00FE5757">
            <w:pPr>
              <w:rPr>
                <w:rFonts w:eastAsia="Avenir"/>
                <w:b/>
                <w:bCs/>
              </w:rPr>
            </w:pPr>
          </w:p>
          <w:p w14:paraId="29C2F310" w14:textId="77777777" w:rsidR="00C91ADF" w:rsidRPr="00541A4C" w:rsidRDefault="00C91ADF" w:rsidP="00FE5757">
            <w:pPr>
              <w:rPr>
                <w:rFonts w:eastAsia="Avenir"/>
                <w:b/>
                <w:bCs/>
              </w:rPr>
            </w:pPr>
          </w:p>
          <w:p w14:paraId="7E3C6841" w14:textId="576DF00D" w:rsidR="00106447" w:rsidRPr="00541A4C" w:rsidRDefault="00106447" w:rsidP="00FE5757">
            <w:pPr>
              <w:rPr>
                <w:rFonts w:eastAsia="Avenir"/>
                <w:b/>
                <w:bCs/>
              </w:rPr>
            </w:pPr>
          </w:p>
        </w:tc>
      </w:tr>
      <w:tr w:rsidR="00BD4CA3" w:rsidRPr="00541A4C" w14:paraId="1B7687D9" w14:textId="77777777" w:rsidTr="00E35ADB">
        <w:tc>
          <w:tcPr>
            <w:tcW w:w="9930" w:type="dxa"/>
            <w:tcBorders>
              <w:top w:val="single" w:sz="8" w:space="0" w:color="auto"/>
              <w:left w:val="single" w:sz="8" w:space="0" w:color="auto"/>
              <w:bottom w:val="single" w:sz="8" w:space="0" w:color="auto"/>
              <w:right w:val="single" w:sz="8" w:space="0" w:color="auto"/>
            </w:tcBorders>
            <w:shd w:val="clear" w:color="auto" w:fill="auto"/>
          </w:tcPr>
          <w:p w14:paraId="70704202" w14:textId="77777777" w:rsidR="00D00B74" w:rsidRPr="00541A4C" w:rsidRDefault="00BD4CA3" w:rsidP="00FE5757">
            <w:pPr>
              <w:rPr>
                <w:rFonts w:eastAsia="Avenir Black"/>
                <w:b/>
                <w:bCs/>
              </w:rPr>
            </w:pPr>
            <w:r w:rsidRPr="00541A4C">
              <w:rPr>
                <w:rFonts w:eastAsia="Avenir Black"/>
                <w:b/>
                <w:bCs/>
              </w:rPr>
              <w:lastRenderedPageBreak/>
              <w:t xml:space="preserve">When the data are disaggregated by student ethnic groups, gender, and age, how do you plan to </w:t>
            </w:r>
          </w:p>
          <w:p w14:paraId="53F28F76" w14:textId="3596ACCF" w:rsidR="00BD4CA3" w:rsidRPr="00541A4C" w:rsidRDefault="00BD4CA3" w:rsidP="00FE5757">
            <w:pPr>
              <w:rPr>
                <w:rFonts w:eastAsia="Avenir"/>
                <w:b/>
                <w:bCs/>
              </w:rPr>
            </w:pPr>
            <w:r w:rsidRPr="00541A4C">
              <w:rPr>
                <w:rFonts w:eastAsia="Avenir Black"/>
                <w:b/>
                <w:bCs/>
              </w:rPr>
              <w:t>address them over the next year?</w:t>
            </w:r>
          </w:p>
        </w:tc>
      </w:tr>
      <w:tr w:rsidR="00BD4CA3" w:rsidRPr="00541A4C" w14:paraId="12C76370"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B2172B6" w14:textId="1DA14B80" w:rsidR="00BD4CA3" w:rsidRPr="00541A4C" w:rsidRDefault="003A4957" w:rsidP="00FE5757">
            <w:pPr>
              <w:rPr>
                <w:rFonts w:eastAsia="Avenir"/>
                <w:bCs/>
              </w:rPr>
            </w:pPr>
            <w:r w:rsidRPr="00541A4C">
              <w:rPr>
                <w:rFonts w:eastAsia="Avenir"/>
                <w:bCs/>
              </w:rPr>
              <w:t xml:space="preserve">The 16-18 group is the fastest growing population enrolled in ETHST + classes, a trend we expect to continue going forward. We expect to support this progress through continuing existing partnerships, and developing new ones </w:t>
            </w:r>
            <w:r w:rsidR="00D00B74" w:rsidRPr="00541A4C">
              <w:rPr>
                <w:rFonts w:eastAsia="Avenir"/>
                <w:bCs/>
              </w:rPr>
              <w:t xml:space="preserve">in the area of dual enrollment. At the same time, we recognize an underserved community of learners in the 25 and above category. </w:t>
            </w:r>
          </w:p>
          <w:p w14:paraId="4D223D4E" w14:textId="032C2F13" w:rsidR="00D00B74" w:rsidRPr="00541A4C" w:rsidRDefault="00D00B74" w:rsidP="00FE5757">
            <w:pPr>
              <w:rPr>
                <w:rFonts w:eastAsia="Avenir"/>
                <w:bCs/>
              </w:rPr>
            </w:pPr>
          </w:p>
          <w:p w14:paraId="5116AA9E" w14:textId="751C68C4" w:rsidR="00D00B74" w:rsidRPr="00541A4C" w:rsidRDefault="00D00B74" w:rsidP="00FE5757">
            <w:pPr>
              <w:rPr>
                <w:rFonts w:eastAsia="Avenir"/>
                <w:bCs/>
              </w:rPr>
            </w:pPr>
            <w:r w:rsidRPr="00541A4C">
              <w:rPr>
                <w:rFonts w:eastAsia="Avenir"/>
                <w:bCs/>
              </w:rPr>
              <w:t>Male students, especially men-of-color, remain underrepresented in higher education at BCC as across the nation. This has substantial and long-term implications which are not solely the providence of BCC. However, again, this category represents an area of untapped potential for recruitment and opportunity. Too, while small in number, non-gender conforming students are a population that is increasing in number and will merit increased awareness and attention.</w:t>
            </w:r>
          </w:p>
          <w:p w14:paraId="53359EC2" w14:textId="2912B3A3" w:rsidR="00D00B74" w:rsidRPr="00541A4C" w:rsidRDefault="00D00B74" w:rsidP="00FE5757">
            <w:pPr>
              <w:rPr>
                <w:rFonts w:eastAsia="Avenir"/>
                <w:bCs/>
              </w:rPr>
            </w:pPr>
          </w:p>
          <w:p w14:paraId="4D825000" w14:textId="730BCEC6" w:rsidR="00D00B74" w:rsidRPr="00541A4C" w:rsidRDefault="00D00B74" w:rsidP="00FE5757">
            <w:pPr>
              <w:rPr>
                <w:rFonts w:eastAsia="Avenir"/>
                <w:bCs/>
              </w:rPr>
            </w:pPr>
            <w:r w:rsidRPr="00541A4C">
              <w:rPr>
                <w:rFonts w:eastAsia="Avenir"/>
                <w:bCs/>
              </w:rPr>
              <w:t>The 18-24 aged population of Black and Latinx Californians in college is disproportionately low; of those who do attend higher education, the majority are in community colleges. Our enrollment, retention, and completion rates, while respectable, do not reflect nor address the full potential of these populations. This appears to be the greatest sources of untapped potential in recruitment, retention, and completion.</w:t>
            </w:r>
          </w:p>
          <w:p w14:paraId="0AB4EB78" w14:textId="77777777" w:rsidR="003A4957" w:rsidRPr="00541A4C" w:rsidRDefault="003A4957" w:rsidP="00FE5757">
            <w:pPr>
              <w:rPr>
                <w:rFonts w:eastAsia="Avenir"/>
                <w:b/>
                <w:bCs/>
              </w:rPr>
            </w:pPr>
          </w:p>
          <w:p w14:paraId="56584121" w14:textId="4B74CE76" w:rsidR="008B4402" w:rsidRPr="00541A4C" w:rsidRDefault="008B4402" w:rsidP="00FE5757">
            <w:pPr>
              <w:rPr>
                <w:rFonts w:eastAsia="Avenir"/>
                <w:b/>
                <w:bCs/>
              </w:rPr>
            </w:pPr>
          </w:p>
        </w:tc>
      </w:tr>
      <w:tr w:rsidR="00106447" w:rsidRPr="00541A4C" w14:paraId="162970EF"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516F1EEC" w14:textId="447AB68A" w:rsidR="00106447" w:rsidRPr="00541A4C" w:rsidRDefault="00106447" w:rsidP="00106447">
            <w:pPr>
              <w:rPr>
                <w:rFonts w:eastAsiaTheme="minorEastAsia"/>
                <w:b/>
                <w:bCs/>
              </w:rPr>
            </w:pPr>
            <w:r w:rsidRPr="00541A4C">
              <w:rPr>
                <w:rFonts w:eastAsiaTheme="minorEastAsia"/>
                <w:b/>
                <w:bCs/>
              </w:rPr>
              <w:t xml:space="preserve">What population(s) showed outcomes gains in your </w:t>
            </w:r>
            <w:r w:rsidR="00890089" w:rsidRPr="00541A4C">
              <w:rPr>
                <w:rFonts w:eastAsiaTheme="minorEastAsia"/>
                <w:b/>
                <w:bCs/>
              </w:rPr>
              <w:t>discipline(s)</w:t>
            </w:r>
            <w:r w:rsidRPr="00541A4C">
              <w:rPr>
                <w:rFonts w:eastAsiaTheme="minorEastAsia"/>
                <w:b/>
                <w:bCs/>
              </w:rPr>
              <w:t xml:space="preserve"> and which need more support?</w:t>
            </w:r>
          </w:p>
          <w:p w14:paraId="32B9A141" w14:textId="77777777" w:rsidR="006D2FE1" w:rsidRPr="00541A4C" w:rsidRDefault="006D2FE1" w:rsidP="00106447">
            <w:pPr>
              <w:rPr>
                <w:rFonts w:eastAsiaTheme="minorEastAsia"/>
                <w:b/>
                <w:bCs/>
              </w:rPr>
            </w:pPr>
          </w:p>
          <w:p w14:paraId="5C8C6E5A" w14:textId="77777777" w:rsidR="006D2FE1" w:rsidRPr="00541A4C" w:rsidRDefault="006D2FE1" w:rsidP="006D2FE1">
            <w:pPr>
              <w:ind w:left="360"/>
              <w:rPr>
                <w:color w:val="000000" w:themeColor="text1"/>
              </w:rPr>
            </w:pPr>
            <w:r w:rsidRPr="00541A4C">
              <w:rPr>
                <w:color w:val="000000" w:themeColor="text1"/>
              </w:rPr>
              <w:t xml:space="preserve">Disaggregate the data and outcomes as far down as a possible then ask: </w:t>
            </w:r>
          </w:p>
          <w:p w14:paraId="127256E1" w14:textId="493AAED3" w:rsidR="006D2FE1" w:rsidRPr="00541A4C" w:rsidRDefault="006D2FE1" w:rsidP="006D2FE1">
            <w:pPr>
              <w:pStyle w:val="ListParagraph"/>
              <w:numPr>
                <w:ilvl w:val="0"/>
                <w:numId w:val="40"/>
              </w:numPr>
              <w:ind w:left="962" w:hanging="180"/>
              <w:rPr>
                <w:rFonts w:ascii="Times New Roman" w:hAnsi="Times New Roman" w:cs="Times New Roman"/>
                <w:color w:val="000000" w:themeColor="text1"/>
                <w:sz w:val="24"/>
                <w:szCs w:val="24"/>
              </w:rPr>
            </w:pPr>
            <w:r w:rsidRPr="00541A4C">
              <w:rPr>
                <w:rFonts w:ascii="Times New Roman" w:hAnsi="Times New Roman" w:cs="Times New Roman"/>
                <w:color w:val="000000" w:themeColor="text1"/>
                <w:sz w:val="24"/>
                <w:szCs w:val="24"/>
              </w:rPr>
              <w:t xml:space="preserve">What trends do you notice when examining course success rates for student populations by ethnicity? Which factors do you believe have the greatest impact (positive or negative) and cause variation between student course success rates in your Program? Describe some specific methods your </w:t>
            </w:r>
            <w:r w:rsidR="002E576D" w:rsidRPr="00541A4C">
              <w:rPr>
                <w:rFonts w:ascii="Times New Roman" w:hAnsi="Times New Roman" w:cs="Times New Roman"/>
                <w:color w:val="000000" w:themeColor="text1"/>
                <w:sz w:val="24"/>
                <w:szCs w:val="24"/>
              </w:rPr>
              <w:t>department</w:t>
            </w:r>
            <w:r w:rsidRPr="00541A4C">
              <w:rPr>
                <w:rFonts w:ascii="Times New Roman" w:hAnsi="Times New Roman" w:cs="Times New Roman"/>
                <w:color w:val="000000" w:themeColor="text1"/>
                <w:sz w:val="24"/>
                <w:szCs w:val="24"/>
              </w:rPr>
              <w:t xml:space="preserve"> is planning or implementing to address these equity gaps. How will you evaluate the efficacy of these interventions?</w:t>
            </w:r>
          </w:p>
          <w:p w14:paraId="477BA398" w14:textId="77777777" w:rsidR="006D2FE1" w:rsidRPr="00541A4C" w:rsidRDefault="006D2FE1" w:rsidP="006D2FE1">
            <w:pPr>
              <w:pStyle w:val="ListParagraph"/>
              <w:ind w:left="962" w:hanging="180"/>
              <w:rPr>
                <w:rFonts w:ascii="Times New Roman" w:hAnsi="Times New Roman" w:cs="Times New Roman"/>
                <w:color w:val="000000" w:themeColor="text1"/>
                <w:sz w:val="24"/>
                <w:szCs w:val="24"/>
              </w:rPr>
            </w:pPr>
          </w:p>
          <w:p w14:paraId="6D3FDE59" w14:textId="6318C585" w:rsidR="006D2FE1" w:rsidRPr="00541A4C" w:rsidRDefault="006D2FE1" w:rsidP="006D2FE1">
            <w:pPr>
              <w:pStyle w:val="ListParagraph"/>
              <w:numPr>
                <w:ilvl w:val="0"/>
                <w:numId w:val="40"/>
              </w:numPr>
              <w:ind w:left="962" w:hanging="180"/>
              <w:rPr>
                <w:rFonts w:ascii="Times New Roman" w:hAnsi="Times New Roman" w:cs="Times New Roman"/>
                <w:color w:val="000000" w:themeColor="text1"/>
                <w:sz w:val="24"/>
                <w:szCs w:val="24"/>
              </w:rPr>
            </w:pPr>
            <w:r w:rsidRPr="00541A4C">
              <w:rPr>
                <w:rFonts w:ascii="Times New Roman" w:hAnsi="Times New Roman" w:cs="Times New Roman"/>
                <w:color w:val="000000" w:themeColor="text1"/>
                <w:sz w:val="24"/>
                <w:szCs w:val="24"/>
              </w:rPr>
              <w:t xml:space="preserve">How has pivoting to online instruction contributed to potential reductions in student success? Provide some specific examples of practices that </w:t>
            </w:r>
            <w:r w:rsidR="002E576D" w:rsidRPr="00541A4C">
              <w:rPr>
                <w:rFonts w:ascii="Times New Roman" w:hAnsi="Times New Roman" w:cs="Times New Roman"/>
                <w:color w:val="000000" w:themeColor="text1"/>
                <w:sz w:val="24"/>
                <w:szCs w:val="24"/>
              </w:rPr>
              <w:t>faculty</w:t>
            </w:r>
            <w:r w:rsidRPr="00541A4C">
              <w:rPr>
                <w:rFonts w:ascii="Times New Roman" w:hAnsi="Times New Roman" w:cs="Times New Roman"/>
                <w:color w:val="000000" w:themeColor="text1"/>
                <w:sz w:val="24"/>
                <w:szCs w:val="24"/>
              </w:rPr>
              <w:t xml:space="preserve"> in your </w:t>
            </w:r>
            <w:r w:rsidR="002E576D" w:rsidRPr="00541A4C">
              <w:rPr>
                <w:rFonts w:ascii="Times New Roman" w:hAnsi="Times New Roman" w:cs="Times New Roman"/>
                <w:color w:val="000000" w:themeColor="text1"/>
                <w:sz w:val="24"/>
                <w:szCs w:val="24"/>
              </w:rPr>
              <w:t>department</w:t>
            </w:r>
            <w:r w:rsidRPr="00541A4C">
              <w:rPr>
                <w:rFonts w:ascii="Times New Roman" w:hAnsi="Times New Roman" w:cs="Times New Roman"/>
                <w:color w:val="000000" w:themeColor="text1"/>
                <w:sz w:val="24"/>
                <w:szCs w:val="24"/>
              </w:rPr>
              <w:t xml:space="preserve"> have found ineffective in the online environment.  </w:t>
            </w:r>
          </w:p>
          <w:p w14:paraId="4200076B" w14:textId="4641FE42" w:rsidR="0066398F" w:rsidRPr="00541A4C" w:rsidRDefault="006D2FE1" w:rsidP="006D2FE1">
            <w:pPr>
              <w:rPr>
                <w:rFonts w:eastAsiaTheme="minorEastAsia"/>
                <w:b/>
                <w:bCs/>
              </w:rPr>
            </w:pPr>
            <w:r w:rsidRPr="00541A4C">
              <w:rPr>
                <w:color w:val="000000" w:themeColor="text1"/>
              </w:rPr>
              <w:t xml:space="preserve">Please review the </w:t>
            </w:r>
            <w:hyperlink r:id="rId30" w:history="1">
              <w:r w:rsidRPr="00541A4C">
                <w:rPr>
                  <w:rStyle w:val="Hyperlink"/>
                </w:rPr>
                <w:t>video from the RP Group</w:t>
              </w:r>
            </w:hyperlink>
            <w:r w:rsidRPr="00541A4C">
              <w:rPr>
                <w:color w:val="000000" w:themeColor="text1"/>
              </w:rPr>
              <w:t xml:space="preserve"> acknowledging the interrogation De Anza Community College committed to in their analysis of course completion and success rate.</w:t>
            </w:r>
          </w:p>
        </w:tc>
      </w:tr>
      <w:tr w:rsidR="00106447" w:rsidRPr="00541A4C" w14:paraId="258608E0"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41E3E3C8" w14:textId="5EA64646" w:rsidR="00C91ADF" w:rsidRDefault="00C91ADF" w:rsidP="00C91ADF">
            <w:pPr>
              <w:rPr>
                <w:rFonts w:eastAsia="Avenir"/>
                <w:bCs/>
              </w:rPr>
            </w:pPr>
            <w:r w:rsidRPr="00541A4C">
              <w:rPr>
                <w:rFonts w:eastAsia="Avenir"/>
                <w:bCs/>
              </w:rPr>
              <w:t>In thinking of the COVID-era shift towards online instruction, students appear to stay away rather than attempt and risk an unsuccessful outcome. At the same time, an expansion of online options has led to greater opportunities and flexibility for students. For example, when offered in person, ETHST 2 struggled to make. While the shift to online happened to coincide with the total shutdown of in-person instruction, the increased enrollment has led to the course being offered online for alternating semesters since 2020.</w:t>
            </w:r>
          </w:p>
          <w:p w14:paraId="2BE2C45F" w14:textId="08043B85" w:rsidR="00C91ADF" w:rsidRDefault="00C91ADF" w:rsidP="00C91ADF">
            <w:pPr>
              <w:rPr>
                <w:rFonts w:eastAsia="Avenir"/>
                <w:bCs/>
              </w:rPr>
            </w:pPr>
          </w:p>
          <w:p w14:paraId="256C069B" w14:textId="24C951BD" w:rsidR="00C91ADF" w:rsidRPr="00541A4C" w:rsidRDefault="00C91ADF" w:rsidP="00C91ADF">
            <w:pPr>
              <w:rPr>
                <w:rFonts w:eastAsia="Avenir"/>
                <w:bCs/>
              </w:rPr>
            </w:pPr>
            <w:r>
              <w:rPr>
                <w:rFonts w:eastAsia="Avenir"/>
                <w:bCs/>
              </w:rPr>
              <w:t>That said, without other options (hybrid, in-person), all students who are enrolled in an online class do not necessarily do so voluntarily. Among the challenges around access the college has made strides in providing laptops and instructional onboarding (FAQs, how-</w:t>
            </w:r>
            <w:proofErr w:type="spellStart"/>
            <w:r>
              <w:rPr>
                <w:rFonts w:eastAsia="Avenir"/>
                <w:bCs/>
              </w:rPr>
              <w:t>tos</w:t>
            </w:r>
            <w:proofErr w:type="spellEnd"/>
            <w:r>
              <w:rPr>
                <w:rFonts w:eastAsia="Avenir"/>
                <w:bCs/>
              </w:rPr>
              <w:t>). However, the online format has presented a challenge towards the communal and social aspects of the college experience—among the very things that serve the goals of retention and completion, by way of community-building. Too, the online format by design relies upon the textual and written word as a primary means of interaction, such as in an asynchronous class, or discussion and lecture via Zoom during synchronous meetings. Where the face-to-face modality allows for scaffolding and support, not to mention contextual clues in interpersonal interaction, these are difficult if not impossible to replicate even in the most efficient online setting.</w:t>
            </w:r>
          </w:p>
          <w:p w14:paraId="4002AE42" w14:textId="77777777" w:rsidR="00106447" w:rsidRDefault="00106447" w:rsidP="00FE5757">
            <w:pPr>
              <w:rPr>
                <w:rFonts w:eastAsia="Avenir"/>
                <w:b/>
                <w:bCs/>
              </w:rPr>
            </w:pPr>
          </w:p>
          <w:p w14:paraId="40F8D812" w14:textId="6B51E673" w:rsidR="00C91ADF" w:rsidRPr="00541A4C" w:rsidRDefault="00C91ADF" w:rsidP="00FE5757">
            <w:pPr>
              <w:rPr>
                <w:rFonts w:eastAsia="Avenir"/>
                <w:b/>
                <w:bCs/>
              </w:rPr>
            </w:pPr>
          </w:p>
        </w:tc>
      </w:tr>
      <w:tr w:rsidR="00106447" w:rsidRPr="00541A4C" w14:paraId="330CE5A9"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3F296B79" w14:textId="7353E7E9" w:rsidR="00106447" w:rsidRPr="00541A4C" w:rsidRDefault="00106447" w:rsidP="00106447">
            <w:pPr>
              <w:rPr>
                <w:rFonts w:eastAsiaTheme="minorEastAsia"/>
                <w:b/>
                <w:bCs/>
                <w:color w:val="000000" w:themeColor="text1"/>
              </w:rPr>
            </w:pPr>
            <w:r w:rsidRPr="00541A4C">
              <w:rPr>
                <w:rFonts w:eastAsia="Calibri"/>
                <w:b/>
                <w:bCs/>
                <w:color w:val="000000" w:themeColor="text1"/>
              </w:rPr>
              <w:lastRenderedPageBreak/>
              <w:t xml:space="preserve">How do these outcome trends </w:t>
            </w:r>
            <w:r w:rsidR="007F7AED" w:rsidRPr="00541A4C">
              <w:rPr>
                <w:rFonts w:eastAsia="Calibri"/>
                <w:b/>
                <w:bCs/>
                <w:color w:val="000000" w:themeColor="text1"/>
              </w:rPr>
              <w:t xml:space="preserve">in your department </w:t>
            </w:r>
            <w:r w:rsidRPr="00541A4C">
              <w:rPr>
                <w:rFonts w:eastAsia="Calibri"/>
                <w:b/>
                <w:bCs/>
                <w:color w:val="000000" w:themeColor="text1"/>
              </w:rPr>
              <w:t xml:space="preserve">compare to the college average?  </w:t>
            </w:r>
          </w:p>
        </w:tc>
      </w:tr>
      <w:tr w:rsidR="00106447" w:rsidRPr="00541A4C" w14:paraId="24BA4EFD"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534355D" w14:textId="36F36A1B" w:rsidR="00106447" w:rsidRDefault="00E62B20" w:rsidP="00FE5757">
            <w:pPr>
              <w:rPr>
                <w:rFonts w:eastAsia="Avenir"/>
                <w:bCs/>
              </w:rPr>
            </w:pPr>
            <w:r w:rsidRPr="00541A4C">
              <w:rPr>
                <w:rFonts w:eastAsia="Avenir"/>
                <w:bCs/>
              </w:rPr>
              <w:t xml:space="preserve">The program as a </w:t>
            </w:r>
            <w:proofErr w:type="gramStart"/>
            <w:r w:rsidRPr="00541A4C">
              <w:rPr>
                <w:rFonts w:eastAsia="Avenir"/>
                <w:bCs/>
              </w:rPr>
              <w:t>whole trends</w:t>
            </w:r>
            <w:proofErr w:type="gramEnd"/>
            <w:r w:rsidRPr="00541A4C">
              <w:rPr>
                <w:rFonts w:eastAsia="Avenir"/>
                <w:bCs/>
              </w:rPr>
              <w:t xml:space="preserve"> positively, when compared to the college average. </w:t>
            </w:r>
          </w:p>
          <w:p w14:paraId="333A579D" w14:textId="77777777" w:rsidR="00C91ADF" w:rsidRPr="00541A4C" w:rsidRDefault="00C91ADF" w:rsidP="00FE5757">
            <w:pPr>
              <w:rPr>
                <w:rFonts w:eastAsia="Avenir"/>
                <w:bCs/>
              </w:rPr>
            </w:pPr>
          </w:p>
          <w:p w14:paraId="0C350065" w14:textId="5A64CCF4" w:rsidR="00E62B20" w:rsidRPr="00541A4C" w:rsidRDefault="00E62B20" w:rsidP="00FE5757">
            <w:pPr>
              <w:rPr>
                <w:rFonts w:eastAsia="Avenir"/>
                <w:bCs/>
              </w:rPr>
            </w:pPr>
            <w:r w:rsidRPr="00541A4C">
              <w:rPr>
                <w:rFonts w:eastAsia="Avenir"/>
                <w:bCs/>
              </w:rPr>
              <w:t xml:space="preserve">In thinking of the COVID-era shift towards online instruction, students appear to stay away rather than attempt and risk an unsuccessful outcome. </w:t>
            </w:r>
            <w:r w:rsidR="00F7319E" w:rsidRPr="00541A4C">
              <w:rPr>
                <w:rFonts w:eastAsia="Avenir"/>
                <w:bCs/>
              </w:rPr>
              <w:t xml:space="preserve">At the same time, an expansion of online options has led to greater opportunities and flexibility for students. For example, when offered in person, ETHST 2 struggled to make. While the shift to online happened to coincide with the total shutdown of in-person instruction, </w:t>
            </w:r>
            <w:r w:rsidR="00541A4C" w:rsidRPr="00541A4C">
              <w:rPr>
                <w:rFonts w:eastAsia="Avenir"/>
                <w:bCs/>
              </w:rPr>
              <w:t xml:space="preserve">the increased </w:t>
            </w:r>
            <w:r w:rsidR="00F7319E" w:rsidRPr="00541A4C">
              <w:rPr>
                <w:rFonts w:eastAsia="Avenir"/>
                <w:bCs/>
              </w:rPr>
              <w:t>enrollment has led to the course being offered</w:t>
            </w:r>
            <w:r w:rsidR="00541A4C" w:rsidRPr="00541A4C">
              <w:rPr>
                <w:rFonts w:eastAsia="Avenir"/>
                <w:bCs/>
              </w:rPr>
              <w:t xml:space="preserve"> online for alternating semesters since 2020</w:t>
            </w:r>
            <w:r w:rsidR="00F7319E" w:rsidRPr="00541A4C">
              <w:rPr>
                <w:rFonts w:eastAsia="Avenir"/>
                <w:bCs/>
              </w:rPr>
              <w:t>.</w:t>
            </w:r>
          </w:p>
          <w:p w14:paraId="0830D7FD" w14:textId="77777777" w:rsidR="00F7319E" w:rsidRPr="00541A4C" w:rsidRDefault="00F7319E" w:rsidP="00FE5757">
            <w:pPr>
              <w:rPr>
                <w:rFonts w:eastAsia="Avenir"/>
                <w:bCs/>
              </w:rPr>
            </w:pPr>
          </w:p>
          <w:p w14:paraId="188AED32" w14:textId="0276735C" w:rsidR="00106447" w:rsidRPr="00541A4C" w:rsidRDefault="00106447" w:rsidP="00FE5757">
            <w:pPr>
              <w:rPr>
                <w:rFonts w:eastAsia="Avenir"/>
                <w:b/>
                <w:bCs/>
              </w:rPr>
            </w:pPr>
          </w:p>
        </w:tc>
      </w:tr>
      <w:tr w:rsidR="00106447" w:rsidRPr="00541A4C" w14:paraId="2C123E74"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48BA3F11" w14:textId="6D22D196" w:rsidR="00106447" w:rsidRPr="00541A4C" w:rsidRDefault="00106447" w:rsidP="00106447">
            <w:pPr>
              <w:rPr>
                <w:rFonts w:eastAsiaTheme="minorEastAsia"/>
                <w:b/>
                <w:bCs/>
                <w:color w:val="000000" w:themeColor="text1"/>
              </w:rPr>
            </w:pPr>
            <w:r w:rsidRPr="00541A4C">
              <w:rPr>
                <w:rFonts w:eastAsia="Calibri"/>
                <w:b/>
                <w:bCs/>
                <w:color w:val="000000" w:themeColor="text1"/>
              </w:rPr>
              <w:t xml:space="preserve">How will these outcome trends you identified in this section affect your department goals and plans for the next </w:t>
            </w:r>
            <w:r w:rsidR="00164383" w:rsidRPr="00541A4C">
              <w:rPr>
                <w:rFonts w:eastAsia="Calibri"/>
                <w:b/>
                <w:bCs/>
                <w:color w:val="000000" w:themeColor="text1"/>
              </w:rPr>
              <w:t xml:space="preserve">year and what are your strategies to shift </w:t>
            </w:r>
            <w:r w:rsidR="002E576D" w:rsidRPr="00541A4C">
              <w:rPr>
                <w:rFonts w:eastAsia="Calibri"/>
                <w:b/>
                <w:bCs/>
                <w:color w:val="000000" w:themeColor="text1"/>
              </w:rPr>
              <w:t xml:space="preserve">to move </w:t>
            </w:r>
            <w:r w:rsidR="00164383" w:rsidRPr="00541A4C">
              <w:rPr>
                <w:rFonts w:eastAsia="Calibri"/>
                <w:b/>
                <w:bCs/>
                <w:color w:val="000000" w:themeColor="text1"/>
              </w:rPr>
              <w:t xml:space="preserve">the trend towards </w:t>
            </w:r>
            <w:r w:rsidR="002E576D" w:rsidRPr="00541A4C">
              <w:rPr>
                <w:rFonts w:eastAsia="Calibri"/>
                <w:b/>
                <w:bCs/>
                <w:color w:val="000000" w:themeColor="text1"/>
              </w:rPr>
              <w:t xml:space="preserve">a </w:t>
            </w:r>
            <w:r w:rsidR="00164383" w:rsidRPr="00541A4C">
              <w:rPr>
                <w:rFonts w:eastAsia="Calibri"/>
                <w:b/>
                <w:bCs/>
                <w:color w:val="000000" w:themeColor="text1"/>
              </w:rPr>
              <w:t>positive direction?</w:t>
            </w:r>
          </w:p>
        </w:tc>
      </w:tr>
      <w:tr w:rsidR="00636202" w:rsidRPr="00541A4C" w14:paraId="1FB58495" w14:textId="77777777" w:rsidTr="00666C88">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6BD9497" w14:textId="3F56C357" w:rsidR="00541A4C" w:rsidRPr="00541A4C" w:rsidRDefault="00541A4C" w:rsidP="000D087A">
            <w:r w:rsidRPr="00541A4C">
              <w:t>One positive aspect of the shifting trends in lower enrollment has been smaller class sizes. This appears to have been a net positive, and could be part of a viable strategy towards continual improvement around completion and retention.</w:t>
            </w:r>
          </w:p>
          <w:p w14:paraId="7E90C455" w14:textId="77777777" w:rsidR="00541A4C" w:rsidRPr="00541A4C" w:rsidRDefault="00541A4C" w:rsidP="000D087A"/>
          <w:p w14:paraId="07182563" w14:textId="12C8E805" w:rsidR="00636202" w:rsidRPr="00541A4C" w:rsidRDefault="00541A4C" w:rsidP="000D087A">
            <w:r w:rsidRPr="00541A4C">
              <w:t xml:space="preserve">It is imperative that ETHST + offers sections across modalities, and that the modalities align with instructor abilities and expertise. Towards this end, the program has begun recruiting a range of potential instructors to complement our existing faculty members. At the present, should one of our PT AFRAM or ASAME instructors become unavailable (either in the case of an emergency, or, more likely, a scheduling conflict), we do not have an alternate who meets the discipline’s MQs. </w:t>
            </w:r>
          </w:p>
          <w:p w14:paraId="4079B419" w14:textId="17FF0A56" w:rsidR="00541A4C" w:rsidRPr="00541A4C" w:rsidRDefault="00541A4C" w:rsidP="000D087A"/>
          <w:p w14:paraId="2E3C4442" w14:textId="6CF8FBCC" w:rsidR="00541A4C" w:rsidRDefault="00541A4C" w:rsidP="000D087A">
            <w:r w:rsidRPr="00541A4C">
              <w:t>Finally, aligning ETHST + courses with learning communities should offer mutual support towards these goals.</w:t>
            </w:r>
          </w:p>
          <w:p w14:paraId="26E0C4B0" w14:textId="17E65CFF" w:rsidR="00326C73" w:rsidRDefault="00326C73" w:rsidP="000D087A"/>
          <w:p w14:paraId="7B8A59EE" w14:textId="77777777" w:rsidR="00326C73" w:rsidRPr="00541A4C" w:rsidRDefault="00326C73" w:rsidP="000D087A"/>
          <w:p w14:paraId="606BB96D" w14:textId="1CBAA597" w:rsidR="00636202" w:rsidRPr="00541A4C" w:rsidRDefault="00636202" w:rsidP="000D087A">
            <w:pPr>
              <w:rPr>
                <w:rFonts w:eastAsia="Calibri"/>
                <w:color w:val="000000" w:themeColor="text1"/>
              </w:rPr>
            </w:pPr>
          </w:p>
        </w:tc>
      </w:tr>
    </w:tbl>
    <w:p w14:paraId="71B0593E" w14:textId="77777777" w:rsidR="00EE3904" w:rsidRPr="00541A4C" w:rsidRDefault="00EE3904" w:rsidP="00EE3904">
      <w:r w:rsidRPr="00541A4C">
        <w:rPr>
          <w:rFonts w:eastAsia="Avenir Black"/>
        </w:rPr>
        <w:t xml:space="preserve"> </w:t>
      </w:r>
    </w:p>
    <w:tbl>
      <w:tblPr>
        <w:tblStyle w:val="TableGrid"/>
        <w:tblW w:w="0" w:type="auto"/>
        <w:tblLook w:val="04A0" w:firstRow="1" w:lastRow="0" w:firstColumn="1" w:lastColumn="0" w:noHBand="0" w:noVBand="1"/>
      </w:tblPr>
      <w:tblGrid>
        <w:gridCol w:w="9926"/>
      </w:tblGrid>
      <w:tr w:rsidR="009979A6" w:rsidRPr="00541A4C" w14:paraId="6BB01292" w14:textId="77777777" w:rsidTr="00E35ADB">
        <w:tc>
          <w:tcPr>
            <w:tcW w:w="9926" w:type="dxa"/>
            <w:shd w:val="clear" w:color="auto" w:fill="009193"/>
          </w:tcPr>
          <w:p w14:paraId="2BEE2FE4" w14:textId="0D459652" w:rsidR="009979A6" w:rsidRPr="00541A4C" w:rsidRDefault="00C94A73" w:rsidP="00EE3904">
            <w:pPr>
              <w:rPr>
                <w:b/>
                <w:bCs/>
              </w:rPr>
            </w:pPr>
            <w:r w:rsidRPr="00541A4C">
              <w:rPr>
                <w:rFonts w:eastAsia="Calibri"/>
                <w:b/>
                <w:bCs/>
                <w:color w:val="FFFFFF" w:themeColor="background1"/>
              </w:rPr>
              <w:lastRenderedPageBreak/>
              <w:t>3</w:t>
            </w:r>
            <w:r w:rsidR="00064350" w:rsidRPr="00541A4C">
              <w:rPr>
                <w:rFonts w:eastAsia="Calibri"/>
                <w:b/>
                <w:bCs/>
                <w:color w:val="FFFFFF" w:themeColor="background1"/>
              </w:rPr>
              <w:t>c</w:t>
            </w:r>
            <w:r w:rsidR="009979A6" w:rsidRPr="00541A4C">
              <w:rPr>
                <w:rFonts w:eastAsia="Calibri"/>
                <w:b/>
                <w:bCs/>
                <w:color w:val="FFFFFF" w:themeColor="background1"/>
              </w:rPr>
              <w:t xml:space="preserve">. </w:t>
            </w:r>
            <w:hyperlink r:id="rId31">
              <w:r w:rsidR="009979A6" w:rsidRPr="00541A4C">
                <w:rPr>
                  <w:rStyle w:val="Hyperlink"/>
                  <w:rFonts w:eastAsia="Avenir"/>
                  <w:b/>
                  <w:bCs/>
                  <w:color w:val="FFFFFF" w:themeColor="background1"/>
                </w:rPr>
                <w:t>Degrees and Certificates Dashboard</w:t>
              </w:r>
            </w:hyperlink>
          </w:p>
        </w:tc>
      </w:tr>
      <w:tr w:rsidR="009979A6" w:rsidRPr="00541A4C" w14:paraId="197140B9" w14:textId="77777777" w:rsidTr="009979A6">
        <w:tc>
          <w:tcPr>
            <w:tcW w:w="9926" w:type="dxa"/>
          </w:tcPr>
          <w:p w14:paraId="5CC55596" w14:textId="41A47F3C" w:rsidR="009979A6" w:rsidRPr="00541A4C" w:rsidRDefault="009979A6" w:rsidP="009979A6">
            <w:pPr>
              <w:rPr>
                <w:rFonts w:eastAsiaTheme="minorEastAsia"/>
                <w:b/>
                <w:bCs/>
              </w:rPr>
            </w:pPr>
            <w:r w:rsidRPr="00541A4C">
              <w:rPr>
                <w:rFonts w:eastAsia="Calibri"/>
                <w:b/>
                <w:bCs/>
              </w:rPr>
              <w:t>On page 1 of the “Degrees and Certificate Awards Trends” Dashboard, what are the award trends for your department (</w:t>
            </w:r>
            <w:r w:rsidR="00890089" w:rsidRPr="00541A4C">
              <w:rPr>
                <w:rFonts w:eastAsia="Calibri"/>
                <w:b/>
                <w:bCs/>
              </w:rPr>
              <w:t xml:space="preserve">e.g., </w:t>
            </w:r>
            <w:r w:rsidRPr="00541A4C">
              <w:rPr>
                <w:rFonts w:eastAsia="Calibri"/>
                <w:b/>
                <w:bCs/>
              </w:rPr>
              <w:t>overall, by gender, age, and ethnicity)</w:t>
            </w:r>
            <w:r w:rsidR="009A35AA" w:rsidRPr="00541A4C">
              <w:rPr>
                <w:rFonts w:eastAsia="Calibri"/>
                <w:b/>
                <w:bCs/>
              </w:rPr>
              <w:t>?</w:t>
            </w:r>
            <w:r w:rsidRPr="00541A4C">
              <w:rPr>
                <w:rFonts w:eastAsia="Calibri"/>
                <w:b/>
                <w:bCs/>
              </w:rPr>
              <w:t xml:space="preserve"> </w:t>
            </w:r>
          </w:p>
        </w:tc>
      </w:tr>
      <w:tr w:rsidR="009979A6" w:rsidRPr="00541A4C" w14:paraId="51510CFE" w14:textId="77777777" w:rsidTr="00821912">
        <w:tc>
          <w:tcPr>
            <w:tcW w:w="9926" w:type="dxa"/>
            <w:shd w:val="clear" w:color="auto" w:fill="FFF2CC" w:themeFill="accent4" w:themeFillTint="33"/>
          </w:tcPr>
          <w:p w14:paraId="3D4B2310" w14:textId="5B4B0987" w:rsidR="009979A6" w:rsidRPr="00541A4C" w:rsidRDefault="00541A4C" w:rsidP="009979A6">
            <w:r w:rsidRPr="00541A4C">
              <w:t>n/a</w:t>
            </w:r>
          </w:p>
          <w:p w14:paraId="68B96E1C" w14:textId="77777777" w:rsidR="00541A4C" w:rsidRPr="00541A4C" w:rsidRDefault="00541A4C" w:rsidP="009979A6"/>
          <w:p w14:paraId="73B528B8" w14:textId="4F7E75F6" w:rsidR="00541A4C" w:rsidRPr="00541A4C" w:rsidRDefault="00541A4C" w:rsidP="009979A6">
            <w:r w:rsidRPr="00541A4C">
              <w:t xml:space="preserve">ETHST+ does not current offer a degree or certificate. </w:t>
            </w:r>
          </w:p>
          <w:p w14:paraId="28CCBBE5" w14:textId="490E1BBE" w:rsidR="009979A6" w:rsidRPr="00541A4C" w:rsidRDefault="009979A6" w:rsidP="009979A6"/>
        </w:tc>
      </w:tr>
      <w:tr w:rsidR="009979A6" w:rsidRPr="00541A4C" w14:paraId="2ED5EC2E" w14:textId="77777777" w:rsidTr="009979A6">
        <w:tc>
          <w:tcPr>
            <w:tcW w:w="9926" w:type="dxa"/>
          </w:tcPr>
          <w:p w14:paraId="2D6C4D15" w14:textId="5EB20A85" w:rsidR="009979A6" w:rsidRPr="00541A4C" w:rsidRDefault="009979A6" w:rsidP="009979A6">
            <w:pPr>
              <w:rPr>
                <w:rFonts w:eastAsiaTheme="minorEastAsia"/>
                <w:b/>
                <w:bCs/>
              </w:rPr>
            </w:pPr>
            <w:r w:rsidRPr="00541A4C">
              <w:rPr>
                <w:rFonts w:eastAsiaTheme="minorEastAsia"/>
                <w:b/>
                <w:bCs/>
              </w:rPr>
              <w:t xml:space="preserve">On page 4, what population(s) award trends showed gains in your program area and which populations need more support? </w:t>
            </w:r>
          </w:p>
        </w:tc>
      </w:tr>
      <w:tr w:rsidR="009979A6" w:rsidRPr="00541A4C" w14:paraId="28B16507" w14:textId="77777777" w:rsidTr="00821912">
        <w:tc>
          <w:tcPr>
            <w:tcW w:w="9926" w:type="dxa"/>
            <w:shd w:val="clear" w:color="auto" w:fill="FFF2CC" w:themeFill="accent4" w:themeFillTint="33"/>
          </w:tcPr>
          <w:p w14:paraId="767030D4" w14:textId="77777777" w:rsidR="009979A6" w:rsidRPr="00541A4C" w:rsidRDefault="009979A6" w:rsidP="009979A6"/>
          <w:p w14:paraId="5FD27A79" w14:textId="4C911F72" w:rsidR="009979A6" w:rsidRPr="00541A4C" w:rsidRDefault="009979A6" w:rsidP="009979A6"/>
        </w:tc>
      </w:tr>
    </w:tbl>
    <w:p w14:paraId="036078C9" w14:textId="2706700B" w:rsidR="009979A6" w:rsidRPr="00541A4C" w:rsidRDefault="009979A6" w:rsidP="00EE3904">
      <w:pPr>
        <w:rPr>
          <w:color w:val="0563C1"/>
          <w:u w:val="single"/>
        </w:rPr>
      </w:pPr>
    </w:p>
    <w:tbl>
      <w:tblPr>
        <w:tblStyle w:val="TableGrid"/>
        <w:tblW w:w="0" w:type="auto"/>
        <w:tblLook w:val="04A0" w:firstRow="1" w:lastRow="0" w:firstColumn="1" w:lastColumn="0" w:noHBand="0" w:noVBand="1"/>
      </w:tblPr>
      <w:tblGrid>
        <w:gridCol w:w="9926"/>
      </w:tblGrid>
      <w:tr w:rsidR="009979A6" w:rsidRPr="00541A4C" w14:paraId="50CB192B" w14:textId="77777777" w:rsidTr="00E35ADB">
        <w:tc>
          <w:tcPr>
            <w:tcW w:w="9926" w:type="dxa"/>
            <w:shd w:val="clear" w:color="auto" w:fill="009193"/>
          </w:tcPr>
          <w:p w14:paraId="4CDCE1B1" w14:textId="6F4A7578" w:rsidR="009979A6" w:rsidRPr="00541A4C" w:rsidRDefault="00C94A73" w:rsidP="00EE3904">
            <w:pPr>
              <w:rPr>
                <w:b/>
                <w:bCs/>
                <w:color w:val="000000" w:themeColor="text1"/>
                <w:u w:val="single"/>
              </w:rPr>
            </w:pPr>
            <w:r w:rsidRPr="00541A4C">
              <w:rPr>
                <w:rFonts w:eastAsia="Avenir"/>
                <w:b/>
                <w:bCs/>
                <w:color w:val="FFFFFF" w:themeColor="background1"/>
              </w:rPr>
              <w:t>3</w:t>
            </w:r>
            <w:r w:rsidR="00064350" w:rsidRPr="00541A4C">
              <w:rPr>
                <w:rFonts w:eastAsia="Avenir"/>
                <w:b/>
                <w:bCs/>
                <w:color w:val="FFFFFF" w:themeColor="background1"/>
              </w:rPr>
              <w:t>d</w:t>
            </w:r>
            <w:r w:rsidR="009979A6" w:rsidRPr="00541A4C">
              <w:rPr>
                <w:rFonts w:eastAsia="Avenir"/>
                <w:b/>
                <w:bCs/>
                <w:color w:val="FFFFFF" w:themeColor="background1"/>
              </w:rPr>
              <w:t xml:space="preserve">. </w:t>
            </w:r>
            <w:hyperlink r:id="rId32">
              <w:r w:rsidR="009979A6" w:rsidRPr="00541A4C">
                <w:rPr>
                  <w:rStyle w:val="Hyperlink"/>
                  <w:rFonts w:eastAsia="Avenir"/>
                  <w:b/>
                  <w:bCs/>
                  <w:color w:val="FFFFFF" w:themeColor="background1"/>
                </w:rPr>
                <w:t>Transfer Dashboard</w:t>
              </w:r>
            </w:hyperlink>
          </w:p>
        </w:tc>
      </w:tr>
      <w:tr w:rsidR="009979A6" w:rsidRPr="00541A4C" w14:paraId="571A15EF" w14:textId="77777777" w:rsidTr="009979A6">
        <w:tc>
          <w:tcPr>
            <w:tcW w:w="9926" w:type="dxa"/>
          </w:tcPr>
          <w:p w14:paraId="1A91669B" w14:textId="0DDC42A2" w:rsidR="009979A6" w:rsidRPr="00541A4C" w:rsidRDefault="0078795C" w:rsidP="00EE3904">
            <w:pPr>
              <w:rPr>
                <w:rFonts w:eastAsia="Calibri"/>
                <w:color w:val="FF0000"/>
              </w:rPr>
            </w:pPr>
            <w:r w:rsidRPr="00541A4C">
              <w:rPr>
                <w:rFonts w:eastAsia="Calibri"/>
                <w:b/>
                <w:bCs/>
                <w:color w:val="000000" w:themeColor="text1"/>
              </w:rPr>
              <w:t xml:space="preserve">This dashboard does not provide data by subject.  </w:t>
            </w:r>
            <w:r w:rsidR="009979A6" w:rsidRPr="00541A4C">
              <w:rPr>
                <w:rFonts w:eastAsia="Calibri"/>
                <w:b/>
                <w:bCs/>
                <w:color w:val="000000" w:themeColor="text1"/>
              </w:rPr>
              <w:t xml:space="preserve">Reflect on what you can do to affect </w:t>
            </w:r>
            <w:r w:rsidRPr="00541A4C">
              <w:rPr>
                <w:rFonts w:eastAsia="Calibri"/>
                <w:b/>
                <w:bCs/>
                <w:color w:val="000000" w:themeColor="text1"/>
              </w:rPr>
              <w:t xml:space="preserve">student </w:t>
            </w:r>
            <w:r w:rsidR="009979A6" w:rsidRPr="00541A4C">
              <w:rPr>
                <w:rFonts w:eastAsia="Calibri"/>
                <w:b/>
                <w:bCs/>
                <w:color w:val="000000" w:themeColor="text1"/>
              </w:rPr>
              <w:t>transfer.  How may your department help to support BCC student transfer?</w:t>
            </w:r>
            <w:r w:rsidR="009979A6" w:rsidRPr="00541A4C">
              <w:rPr>
                <w:rFonts w:eastAsia="Calibri"/>
                <w:color w:val="000000" w:themeColor="text1"/>
              </w:rPr>
              <w:t xml:space="preserve">  (e.g., serve on panels, strengthen GP in your dept, change curriculum, </w:t>
            </w:r>
            <w:r w:rsidRPr="00541A4C">
              <w:rPr>
                <w:rFonts w:eastAsia="Calibri"/>
                <w:color w:val="000000" w:themeColor="text1"/>
              </w:rPr>
              <w:t>i</w:t>
            </w:r>
            <w:r w:rsidR="009979A6" w:rsidRPr="00541A4C">
              <w:rPr>
                <w:rFonts w:eastAsia="Calibri"/>
                <w:color w:val="000000" w:themeColor="text1"/>
              </w:rPr>
              <w:t>ncrease number of AD-Ts</w:t>
            </w:r>
            <w:r w:rsidRPr="00541A4C">
              <w:rPr>
                <w:rFonts w:eastAsia="Calibri"/>
                <w:color w:val="000000" w:themeColor="text1"/>
              </w:rPr>
              <w:t>, etc.</w:t>
            </w:r>
            <w:r w:rsidR="009979A6" w:rsidRPr="00541A4C">
              <w:rPr>
                <w:rFonts w:eastAsia="Calibri"/>
                <w:color w:val="000000" w:themeColor="text1"/>
              </w:rPr>
              <w:t>)</w:t>
            </w:r>
          </w:p>
        </w:tc>
      </w:tr>
      <w:tr w:rsidR="009979A6" w:rsidRPr="00541A4C" w14:paraId="0613FE89" w14:textId="77777777" w:rsidTr="00821912">
        <w:tc>
          <w:tcPr>
            <w:tcW w:w="9926" w:type="dxa"/>
            <w:shd w:val="clear" w:color="auto" w:fill="FFF2CC" w:themeFill="accent4" w:themeFillTint="33"/>
          </w:tcPr>
          <w:p w14:paraId="350B509B" w14:textId="7E9BAFD2" w:rsidR="009979A6" w:rsidRPr="00C91ADF" w:rsidRDefault="00C91ADF" w:rsidP="00EE3904">
            <w:pPr>
              <w:rPr>
                <w:color w:val="000000" w:themeColor="text1"/>
              </w:rPr>
            </w:pPr>
            <w:r w:rsidRPr="00C91ADF">
              <w:rPr>
                <w:color w:val="000000" w:themeColor="text1"/>
              </w:rPr>
              <w:t>Followin</w:t>
            </w:r>
            <w:r>
              <w:rPr>
                <w:color w:val="000000" w:themeColor="text1"/>
              </w:rPr>
              <w:t xml:space="preserve">g recent legislative success in expanding Ethnic Studies across California, we have moved to update the majority of ETHST + courses in order to meet Area F transfer requirements. This will be an important step in support students interested in transferring. </w:t>
            </w:r>
          </w:p>
          <w:p w14:paraId="1EC8528F" w14:textId="3D670A84" w:rsidR="007E1142" w:rsidRPr="00541A4C" w:rsidRDefault="007E1142" w:rsidP="00EE3904">
            <w:pPr>
              <w:rPr>
                <w:color w:val="0563C1"/>
                <w:u w:val="single"/>
              </w:rPr>
            </w:pPr>
          </w:p>
        </w:tc>
      </w:tr>
    </w:tbl>
    <w:p w14:paraId="6651A744" w14:textId="77777777" w:rsidR="009979A6" w:rsidRPr="00541A4C" w:rsidRDefault="00EE3904" w:rsidP="00EE3904">
      <w:r w:rsidRPr="00541A4C">
        <w:rPr>
          <w:rFonts w:eastAsia="Calibri"/>
          <w:color w:val="C00000"/>
        </w:rPr>
        <w:t xml:space="preserve"> </w:t>
      </w:r>
    </w:p>
    <w:tbl>
      <w:tblPr>
        <w:tblStyle w:val="TableGrid"/>
        <w:tblW w:w="0" w:type="auto"/>
        <w:tblLook w:val="04A0" w:firstRow="1" w:lastRow="0" w:firstColumn="1" w:lastColumn="0" w:noHBand="0" w:noVBand="1"/>
      </w:tblPr>
      <w:tblGrid>
        <w:gridCol w:w="9926"/>
      </w:tblGrid>
      <w:tr w:rsidR="006425C8" w:rsidRPr="00541A4C" w14:paraId="30CA9BCC" w14:textId="77777777" w:rsidTr="00E35ADB">
        <w:tc>
          <w:tcPr>
            <w:tcW w:w="9926" w:type="dxa"/>
            <w:shd w:val="clear" w:color="auto" w:fill="009193"/>
          </w:tcPr>
          <w:p w14:paraId="417E9944" w14:textId="16895EAE" w:rsidR="006425C8" w:rsidRPr="00541A4C" w:rsidRDefault="00C94A73" w:rsidP="00EE3904">
            <w:pPr>
              <w:rPr>
                <w:b/>
                <w:bCs/>
                <w:color w:val="000000" w:themeColor="text1"/>
              </w:rPr>
            </w:pPr>
            <w:r w:rsidRPr="00541A4C">
              <w:rPr>
                <w:rFonts w:eastAsia="Avenir Black"/>
                <w:b/>
                <w:bCs/>
                <w:color w:val="FFFFFF" w:themeColor="background1"/>
              </w:rPr>
              <w:t>3</w:t>
            </w:r>
            <w:r w:rsidR="00064350" w:rsidRPr="00541A4C">
              <w:rPr>
                <w:rFonts w:eastAsia="Avenir Black"/>
                <w:b/>
                <w:bCs/>
                <w:color w:val="FFFFFF" w:themeColor="background1"/>
              </w:rPr>
              <w:t>e</w:t>
            </w:r>
            <w:r w:rsidR="006425C8" w:rsidRPr="00541A4C">
              <w:rPr>
                <w:rFonts w:eastAsia="Avenir Black"/>
                <w:b/>
                <w:bCs/>
                <w:color w:val="FFFFFF" w:themeColor="background1"/>
              </w:rPr>
              <w:t xml:space="preserve">. </w:t>
            </w:r>
            <w:commentRangeStart w:id="1"/>
            <w:r w:rsidR="006425C8" w:rsidRPr="00541A4C">
              <w:rPr>
                <w:b/>
                <w:bCs/>
                <w:color w:val="FFFFFF" w:themeColor="background1"/>
              </w:rPr>
              <w:t>Curriculum</w:t>
            </w:r>
            <w:r w:rsidR="00AF76C4" w:rsidRPr="00541A4C">
              <w:rPr>
                <w:b/>
                <w:bCs/>
                <w:color w:val="FFFFFF" w:themeColor="background1"/>
              </w:rPr>
              <w:t xml:space="preserve"> based on Guided Pathways</w:t>
            </w:r>
            <w:commentRangeEnd w:id="1"/>
            <w:r w:rsidR="00AF76C4" w:rsidRPr="00541A4C">
              <w:rPr>
                <w:rStyle w:val="CommentReference"/>
                <w:color w:val="FFFFFF" w:themeColor="background1"/>
                <w:sz w:val="24"/>
                <w:szCs w:val="24"/>
              </w:rPr>
              <w:commentReference w:id="1"/>
            </w:r>
          </w:p>
        </w:tc>
      </w:tr>
      <w:tr w:rsidR="009979A6" w:rsidRPr="00541A4C" w14:paraId="678642B3" w14:textId="77777777" w:rsidTr="00E35ADB">
        <w:tc>
          <w:tcPr>
            <w:tcW w:w="9926" w:type="dxa"/>
            <w:shd w:val="clear" w:color="auto" w:fill="auto"/>
          </w:tcPr>
          <w:p w14:paraId="1A73CCD8" w14:textId="768EBCDE" w:rsidR="007E1142" w:rsidRPr="00541A4C" w:rsidRDefault="007E1142" w:rsidP="00EE3904">
            <w:pPr>
              <w:rPr>
                <w:color w:val="FFFFFF" w:themeColor="background1"/>
              </w:rPr>
            </w:pPr>
            <w:r w:rsidRPr="00541A4C">
              <w:rPr>
                <w:rFonts w:eastAsia="Avenir Black"/>
                <w:color w:val="000000" w:themeColor="text1"/>
              </w:rPr>
              <w:t xml:space="preserve">View the department’s curriculum through the lens of student equity outcomes.  </w:t>
            </w:r>
          </w:p>
        </w:tc>
      </w:tr>
      <w:tr w:rsidR="009979A6" w:rsidRPr="00541A4C" w14:paraId="01D8DD99" w14:textId="77777777" w:rsidTr="5FAD3FD5">
        <w:tc>
          <w:tcPr>
            <w:tcW w:w="9926" w:type="dxa"/>
          </w:tcPr>
          <w:p w14:paraId="24B9AAC4" w14:textId="62B3C47F" w:rsidR="009979A6" w:rsidRPr="00541A4C" w:rsidRDefault="00AF76C4" w:rsidP="00E35ADB">
            <w:pPr>
              <w:pStyle w:val="ListParagraph"/>
              <w:numPr>
                <w:ilvl w:val="0"/>
                <w:numId w:val="1"/>
              </w:numPr>
              <w:ind w:left="335"/>
              <w:rPr>
                <w:rFonts w:ascii="Times New Roman" w:eastAsia="Avenir Black" w:hAnsi="Times New Roman" w:cs="Times New Roman"/>
                <w:color w:val="000000" w:themeColor="text1"/>
                <w:sz w:val="24"/>
                <w:szCs w:val="24"/>
              </w:rPr>
            </w:pPr>
            <w:r w:rsidRPr="00541A4C">
              <w:rPr>
                <w:rFonts w:ascii="Times New Roman" w:eastAsia="Avenir Black" w:hAnsi="Times New Roman" w:cs="Times New Roman"/>
                <w:b/>
                <w:bCs/>
                <w:color w:val="000000" w:themeColor="text1"/>
                <w:sz w:val="24"/>
                <w:szCs w:val="24"/>
              </w:rPr>
              <w:t xml:space="preserve">What intentional effort is your department making to create </w:t>
            </w:r>
            <w:r w:rsidR="00362C71" w:rsidRPr="00541A4C">
              <w:rPr>
                <w:rFonts w:ascii="Times New Roman" w:eastAsia="Avenir Black" w:hAnsi="Times New Roman" w:cs="Times New Roman"/>
                <w:b/>
                <w:bCs/>
                <w:color w:val="000000" w:themeColor="text1"/>
                <w:sz w:val="24"/>
                <w:szCs w:val="24"/>
              </w:rPr>
              <w:t xml:space="preserve">and present clear </w:t>
            </w:r>
            <w:r w:rsidRPr="00541A4C">
              <w:rPr>
                <w:rFonts w:ascii="Times New Roman" w:eastAsia="Avenir Black" w:hAnsi="Times New Roman" w:cs="Times New Roman"/>
                <w:b/>
                <w:bCs/>
                <w:color w:val="000000" w:themeColor="text1"/>
                <w:sz w:val="24"/>
                <w:szCs w:val="24"/>
              </w:rPr>
              <w:t>pathways for students through curriculum?</w:t>
            </w:r>
          </w:p>
        </w:tc>
      </w:tr>
      <w:tr w:rsidR="00E57333" w:rsidRPr="00541A4C" w14:paraId="322E4745" w14:textId="77777777" w:rsidTr="00E35ADB">
        <w:tc>
          <w:tcPr>
            <w:tcW w:w="9926" w:type="dxa"/>
            <w:shd w:val="clear" w:color="auto" w:fill="FFF2CC" w:themeFill="accent4" w:themeFillTint="33"/>
          </w:tcPr>
          <w:p w14:paraId="6D61BF1D" w14:textId="4FAF3925" w:rsidR="00E57333" w:rsidRPr="0080287E" w:rsidRDefault="0080287E" w:rsidP="00E57333">
            <w:pPr>
              <w:ind w:left="-25"/>
              <w:rPr>
                <w:rFonts w:eastAsia="Avenir Black"/>
                <w:bCs/>
                <w:color w:val="000000" w:themeColor="text1"/>
              </w:rPr>
            </w:pPr>
            <w:r w:rsidRPr="0080287E">
              <w:rPr>
                <w:rFonts w:eastAsia="Avenir Black"/>
                <w:bCs/>
                <w:color w:val="000000" w:themeColor="text1"/>
              </w:rPr>
              <w:t>ETHST+ curriculum</w:t>
            </w:r>
            <w:r>
              <w:rPr>
                <w:rFonts w:eastAsia="Avenir Black"/>
                <w:bCs/>
                <w:color w:val="000000" w:themeColor="text1"/>
              </w:rPr>
              <w:t xml:space="preserve"> remains limited, and concentrated around foundational (“Introduction to ___”) course offerings. Within this, we offer a focused and well-curated pathway for students to meet their transfer requirement. However, further expansion of the program and movement towards certificates and/or a degree will necessitate the growth of class offerings.</w:t>
            </w:r>
            <w:r w:rsidRPr="0080287E">
              <w:rPr>
                <w:rFonts w:eastAsia="Avenir Black"/>
                <w:bCs/>
                <w:color w:val="000000" w:themeColor="text1"/>
              </w:rPr>
              <w:t xml:space="preserve"> </w:t>
            </w:r>
          </w:p>
          <w:p w14:paraId="06241B0C" w14:textId="62A4F542" w:rsidR="00E57333" w:rsidRPr="00541A4C" w:rsidDel="00E57333" w:rsidRDefault="00E57333" w:rsidP="00E35ADB">
            <w:pPr>
              <w:ind w:left="-25"/>
              <w:rPr>
                <w:rFonts w:eastAsia="Avenir Black"/>
                <w:b/>
                <w:bCs/>
                <w:color w:val="000000" w:themeColor="text1"/>
              </w:rPr>
            </w:pPr>
          </w:p>
        </w:tc>
      </w:tr>
      <w:tr w:rsidR="009979A6" w:rsidRPr="00541A4C" w14:paraId="34A5387C" w14:textId="77777777" w:rsidTr="00E35ADB">
        <w:tc>
          <w:tcPr>
            <w:tcW w:w="9926" w:type="dxa"/>
            <w:shd w:val="clear" w:color="auto" w:fill="auto"/>
          </w:tcPr>
          <w:p w14:paraId="77B9F97D" w14:textId="64B9A5B4" w:rsidR="007E1142" w:rsidRPr="00541A4C" w:rsidRDefault="00AF76C4" w:rsidP="00E35ADB">
            <w:pPr>
              <w:pStyle w:val="ListParagraph"/>
              <w:numPr>
                <w:ilvl w:val="0"/>
                <w:numId w:val="1"/>
              </w:numPr>
              <w:ind w:left="335"/>
              <w:rPr>
                <w:rFonts w:ascii="Times New Roman" w:hAnsi="Times New Roman" w:cs="Times New Roman"/>
                <w:sz w:val="24"/>
                <w:szCs w:val="24"/>
              </w:rPr>
            </w:pPr>
            <w:r w:rsidRPr="00541A4C">
              <w:rPr>
                <w:rFonts w:ascii="Times New Roman" w:hAnsi="Times New Roman" w:cs="Times New Roman"/>
                <w:b/>
                <w:bCs/>
                <w:sz w:val="24"/>
                <w:szCs w:val="24"/>
              </w:rPr>
              <w:t>What are your plans for revising and/or creating new pathways</w:t>
            </w:r>
            <w:r w:rsidR="00362C71" w:rsidRPr="00541A4C">
              <w:rPr>
                <w:rFonts w:ascii="Times New Roman" w:hAnsi="Times New Roman" w:cs="Times New Roman"/>
                <w:b/>
                <w:bCs/>
                <w:sz w:val="24"/>
                <w:szCs w:val="24"/>
              </w:rPr>
              <w:t xml:space="preserve"> </w:t>
            </w:r>
            <w:r w:rsidRPr="00541A4C">
              <w:rPr>
                <w:rFonts w:ascii="Times New Roman" w:hAnsi="Times New Roman" w:cs="Times New Roman"/>
                <w:b/>
                <w:bCs/>
                <w:sz w:val="24"/>
                <w:szCs w:val="24"/>
              </w:rPr>
              <w:t xml:space="preserve">supported </w:t>
            </w:r>
            <w:r w:rsidR="00362C71" w:rsidRPr="00541A4C">
              <w:rPr>
                <w:rFonts w:ascii="Times New Roman" w:hAnsi="Times New Roman" w:cs="Times New Roman"/>
                <w:b/>
                <w:bCs/>
                <w:sz w:val="24"/>
                <w:szCs w:val="24"/>
              </w:rPr>
              <w:t>by</w:t>
            </w:r>
            <w:r w:rsidRPr="00541A4C">
              <w:rPr>
                <w:rFonts w:ascii="Times New Roman" w:hAnsi="Times New Roman" w:cs="Times New Roman"/>
                <w:b/>
                <w:bCs/>
                <w:sz w:val="24"/>
                <w:szCs w:val="24"/>
              </w:rPr>
              <w:t xml:space="preserve"> labor market </w:t>
            </w:r>
            <w:r w:rsidR="00E57333" w:rsidRPr="00541A4C">
              <w:rPr>
                <w:rFonts w:ascii="Times New Roman" w:hAnsi="Times New Roman" w:cs="Times New Roman"/>
                <w:b/>
                <w:bCs/>
                <w:sz w:val="24"/>
                <w:szCs w:val="24"/>
              </w:rPr>
              <w:t>i</w:t>
            </w:r>
            <w:r w:rsidRPr="00541A4C">
              <w:rPr>
                <w:rFonts w:ascii="Times New Roman" w:hAnsi="Times New Roman" w:cs="Times New Roman"/>
                <w:b/>
                <w:bCs/>
                <w:sz w:val="24"/>
                <w:szCs w:val="24"/>
              </w:rPr>
              <w:t>nformation (LMI) and student demands?</w:t>
            </w:r>
            <w:r w:rsidRPr="00541A4C">
              <w:rPr>
                <w:rFonts w:ascii="Times New Roman" w:hAnsi="Times New Roman" w:cs="Times New Roman"/>
                <w:sz w:val="24"/>
                <w:szCs w:val="24"/>
              </w:rPr>
              <w:t xml:space="preserve">  Using </w:t>
            </w:r>
            <w:hyperlink r:id="rId33" w:history="1">
              <w:r w:rsidRPr="00541A4C">
                <w:rPr>
                  <w:rStyle w:val="Hyperlink"/>
                  <w:rFonts w:ascii="Times New Roman" w:hAnsi="Times New Roman" w:cs="Times New Roman"/>
                  <w:sz w:val="24"/>
                  <w:szCs w:val="24"/>
                </w:rPr>
                <w:t>Vision for Success</w:t>
              </w:r>
            </w:hyperlink>
            <w:r w:rsidRPr="00541A4C">
              <w:rPr>
                <w:rFonts w:ascii="Times New Roman" w:hAnsi="Times New Roman" w:cs="Times New Roman"/>
                <w:sz w:val="24"/>
                <w:szCs w:val="24"/>
              </w:rPr>
              <w:t xml:space="preserve"> and </w:t>
            </w:r>
            <w:hyperlink r:id="rId34" w:history="1">
              <w:r w:rsidRPr="00541A4C">
                <w:rPr>
                  <w:rStyle w:val="Hyperlink"/>
                  <w:rFonts w:ascii="Times New Roman" w:hAnsi="Times New Roman" w:cs="Times New Roman"/>
                  <w:sz w:val="24"/>
                  <w:szCs w:val="24"/>
                </w:rPr>
                <w:t>SCFF</w:t>
              </w:r>
            </w:hyperlink>
            <w:r w:rsidRPr="00541A4C">
              <w:rPr>
                <w:rFonts w:ascii="Times New Roman" w:hAnsi="Times New Roman" w:cs="Times New Roman"/>
                <w:sz w:val="24"/>
                <w:szCs w:val="24"/>
              </w:rPr>
              <w:t xml:space="preserve"> focus, please indicate rationale and how the plans directly support student success and equitable completion.</w:t>
            </w:r>
          </w:p>
        </w:tc>
      </w:tr>
      <w:tr w:rsidR="00E57333" w:rsidRPr="00541A4C" w14:paraId="7343EBBF" w14:textId="77777777" w:rsidTr="5FAD3FD5">
        <w:tc>
          <w:tcPr>
            <w:tcW w:w="9926" w:type="dxa"/>
            <w:shd w:val="clear" w:color="auto" w:fill="FFF2CC" w:themeFill="accent4" w:themeFillTint="33"/>
          </w:tcPr>
          <w:p w14:paraId="288C3DED" w14:textId="5320F46D" w:rsidR="00E57333" w:rsidRPr="00541A4C" w:rsidRDefault="0080287E" w:rsidP="0080287E">
            <w:r>
              <w:t>While students do not necessarily enter BCC with an interest in Ethnic Studies +, they tend to view the classes offered in our program positively, and report generally positive experiences. This suggests an opportunity to scale up in order to meet student demands (or interest), while at the same time incorporating curriculum that will support students on transfer and career paths.</w:t>
            </w:r>
          </w:p>
          <w:p w14:paraId="3FAFAB24" w14:textId="77777777" w:rsidR="00E57333" w:rsidRDefault="00E57333" w:rsidP="00E35ADB">
            <w:pPr>
              <w:ind w:left="-25"/>
            </w:pPr>
          </w:p>
          <w:p w14:paraId="6F5B9915" w14:textId="77777777" w:rsidR="00326C73" w:rsidRDefault="00326C73" w:rsidP="00E35ADB">
            <w:pPr>
              <w:ind w:left="-25"/>
            </w:pPr>
          </w:p>
          <w:p w14:paraId="0721207A" w14:textId="77777777" w:rsidR="00326C73" w:rsidRDefault="00326C73" w:rsidP="00E35ADB">
            <w:pPr>
              <w:ind w:left="-25"/>
            </w:pPr>
          </w:p>
          <w:p w14:paraId="6BB3FED4" w14:textId="280C9E49" w:rsidR="00326C73" w:rsidRPr="00541A4C" w:rsidRDefault="00326C73" w:rsidP="00E35ADB">
            <w:pPr>
              <w:ind w:left="-25"/>
            </w:pPr>
          </w:p>
        </w:tc>
      </w:tr>
    </w:tbl>
    <w:p w14:paraId="630FDB96" w14:textId="77777777" w:rsidR="00C407EA" w:rsidRPr="00541A4C" w:rsidRDefault="00C407EA" w:rsidP="00AF76C4">
      <w:pPr>
        <w:rPr>
          <w:b/>
          <w:bCs/>
          <w:color w:val="C00000"/>
        </w:rPr>
      </w:pPr>
    </w:p>
    <w:tbl>
      <w:tblPr>
        <w:tblStyle w:val="TableGrid"/>
        <w:tblW w:w="0" w:type="auto"/>
        <w:tblLook w:val="04A0" w:firstRow="1" w:lastRow="0" w:firstColumn="1" w:lastColumn="0" w:noHBand="0" w:noVBand="1"/>
      </w:tblPr>
      <w:tblGrid>
        <w:gridCol w:w="9926"/>
      </w:tblGrid>
      <w:tr w:rsidR="00C407EA" w:rsidRPr="00541A4C" w14:paraId="72169310" w14:textId="77777777" w:rsidTr="00666C88">
        <w:tc>
          <w:tcPr>
            <w:tcW w:w="9926" w:type="dxa"/>
            <w:shd w:val="clear" w:color="auto" w:fill="009193"/>
          </w:tcPr>
          <w:p w14:paraId="65C28288" w14:textId="205F802B" w:rsidR="00C407EA" w:rsidRPr="00541A4C" w:rsidRDefault="00C94A73" w:rsidP="00666C88">
            <w:pPr>
              <w:rPr>
                <w:b/>
                <w:bCs/>
                <w:color w:val="000000" w:themeColor="text1"/>
              </w:rPr>
            </w:pPr>
            <w:r w:rsidRPr="00541A4C">
              <w:rPr>
                <w:rFonts w:eastAsia="Avenir Black"/>
                <w:b/>
                <w:bCs/>
                <w:color w:val="FFFFFF" w:themeColor="background1"/>
              </w:rPr>
              <w:lastRenderedPageBreak/>
              <w:t>4</w:t>
            </w:r>
            <w:r w:rsidR="00C407EA" w:rsidRPr="00541A4C">
              <w:rPr>
                <w:rFonts w:eastAsia="Avenir Black"/>
                <w:b/>
                <w:bCs/>
                <w:color w:val="FFFFFF" w:themeColor="background1"/>
              </w:rPr>
              <w:t xml:space="preserve">. </w:t>
            </w:r>
            <w:r w:rsidR="00C407EA" w:rsidRPr="00541A4C">
              <w:rPr>
                <w:b/>
                <w:bCs/>
                <w:color w:val="FFFFFF" w:themeColor="background1"/>
              </w:rPr>
              <w:t>D</w:t>
            </w:r>
            <w:r w:rsidR="00CF2027" w:rsidRPr="00541A4C">
              <w:rPr>
                <w:b/>
                <w:bCs/>
                <w:color w:val="FFFFFF" w:themeColor="background1"/>
              </w:rPr>
              <w:t xml:space="preserve">ual Enrollment </w:t>
            </w:r>
          </w:p>
        </w:tc>
      </w:tr>
      <w:tr w:rsidR="00C407EA" w:rsidRPr="00541A4C" w14:paraId="247FBED3" w14:textId="77777777" w:rsidTr="00666C88">
        <w:tc>
          <w:tcPr>
            <w:tcW w:w="9926" w:type="dxa"/>
            <w:shd w:val="clear" w:color="auto" w:fill="auto"/>
          </w:tcPr>
          <w:p w14:paraId="368A25B3" w14:textId="0463A231" w:rsidR="00C407EA" w:rsidRPr="00541A4C" w:rsidRDefault="00C407EA" w:rsidP="00A16362">
            <w:pPr>
              <w:rPr>
                <w:b/>
                <w:color w:val="000000" w:themeColor="text1"/>
              </w:rPr>
            </w:pPr>
            <w:r w:rsidRPr="00541A4C">
              <w:rPr>
                <w:b/>
                <w:color w:val="000000" w:themeColor="text1"/>
              </w:rPr>
              <w:t>As continued decline in overall enrollment for college going population, it is important for us to look at who will be coming to BCC in the next 5 years.</w:t>
            </w:r>
            <w:r w:rsidR="00A16362" w:rsidRPr="00541A4C">
              <w:rPr>
                <w:b/>
                <w:color w:val="000000" w:themeColor="text1"/>
              </w:rPr>
              <w:t xml:space="preserve"> </w:t>
            </w:r>
            <w:r w:rsidR="00553BAD" w:rsidRPr="00541A4C">
              <w:rPr>
                <w:b/>
                <w:color w:val="000000" w:themeColor="text1"/>
              </w:rPr>
              <w:t xml:space="preserve"> Reviewing </w:t>
            </w:r>
            <w:r w:rsidRPr="00541A4C">
              <w:rPr>
                <w:b/>
                <w:color w:val="000000" w:themeColor="text1"/>
              </w:rPr>
              <w:t>the data provide here, what strategies would your department employ to address bringing more students to BCC?</w:t>
            </w:r>
          </w:p>
          <w:p w14:paraId="3D5E76FA" w14:textId="77777777" w:rsidR="00A16362" w:rsidRPr="00541A4C" w:rsidRDefault="00A16362" w:rsidP="00A16362">
            <w:pPr>
              <w:rPr>
                <w:color w:val="C00000"/>
              </w:rPr>
            </w:pPr>
          </w:p>
          <w:p w14:paraId="6714D016" w14:textId="5AF87665" w:rsidR="00636202" w:rsidRPr="00541A4C" w:rsidRDefault="00636202" w:rsidP="00A16362">
            <w:pPr>
              <w:rPr>
                <w:color w:val="FFFFFF" w:themeColor="background1"/>
              </w:rPr>
            </w:pPr>
            <w:r w:rsidRPr="00541A4C">
              <w:rPr>
                <w:noProof/>
                <w:color w:val="FFFFFF" w:themeColor="background1"/>
              </w:rPr>
              <w:drawing>
                <wp:inline distT="0" distB="0" distL="0" distR="0" wp14:anchorId="1E3C00AF" wp14:editId="0B6394A9">
                  <wp:extent cx="6185323" cy="2626397"/>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300637" cy="2675361"/>
                          </a:xfrm>
                          <a:prstGeom prst="rect">
                            <a:avLst/>
                          </a:prstGeom>
                        </pic:spPr>
                      </pic:pic>
                    </a:graphicData>
                  </a:graphic>
                </wp:inline>
              </w:drawing>
            </w:r>
          </w:p>
        </w:tc>
      </w:tr>
      <w:tr w:rsidR="00C407EA" w:rsidRPr="00541A4C" w14:paraId="390EC918" w14:textId="77777777" w:rsidTr="00E35ADB">
        <w:tc>
          <w:tcPr>
            <w:tcW w:w="9926" w:type="dxa"/>
            <w:shd w:val="clear" w:color="auto" w:fill="FFF2CC" w:themeFill="accent4" w:themeFillTint="33"/>
          </w:tcPr>
          <w:p w14:paraId="53C86E88" w14:textId="5B2C5517" w:rsidR="00C407EA" w:rsidRPr="0080287E" w:rsidRDefault="0080287E" w:rsidP="00666C88">
            <w:pPr>
              <w:rPr>
                <w:rFonts w:eastAsia="Avenir Black"/>
                <w:bCs/>
                <w:color w:val="000000" w:themeColor="text1"/>
              </w:rPr>
            </w:pPr>
            <w:r>
              <w:rPr>
                <w:rFonts w:eastAsia="Avenir Black"/>
                <w:bCs/>
                <w:color w:val="000000" w:themeColor="text1"/>
              </w:rPr>
              <w:t>It is unclear if these trends are local, across the district, or statewide. What we do recognize, however, is the equity gap that exists between high school graduates and the population who enters college. As the vast majority of African American and Latinx college students attend community college, there appears room for growing and, as importantly, sustaining high school-to-college pipelines that are specifically focused upon these populations</w:t>
            </w:r>
            <w:r w:rsidR="00C57BA1">
              <w:rPr>
                <w:rFonts w:eastAsia="Avenir Black"/>
                <w:bCs/>
                <w:color w:val="000000" w:themeColor="text1"/>
              </w:rPr>
              <w:t xml:space="preserve">, while recognizing the myriad challenges and demands upon this group. Reduced or free tuition increases access, but does not pay the bills or cover the rent, especially in the SF Bay Area. Support above and beyond what is conventionally offered may help position college enrollment as a more attractive alternative to workforce entry. </w:t>
            </w:r>
          </w:p>
          <w:p w14:paraId="7886CF98" w14:textId="422FADD6" w:rsidR="00A16362" w:rsidRPr="00541A4C" w:rsidRDefault="00A16362" w:rsidP="00666C88">
            <w:pPr>
              <w:rPr>
                <w:rFonts w:eastAsia="Avenir Black"/>
              </w:rPr>
            </w:pPr>
          </w:p>
          <w:p w14:paraId="4B4534FE" w14:textId="5F13907B" w:rsidR="00C407EA" w:rsidRPr="00541A4C" w:rsidRDefault="00C407EA" w:rsidP="00E35ADB">
            <w:pPr>
              <w:ind w:left="-25"/>
              <w:rPr>
                <w:rFonts w:eastAsia="Avenir Black"/>
                <w:color w:val="000000" w:themeColor="text1"/>
              </w:rPr>
            </w:pPr>
          </w:p>
        </w:tc>
      </w:tr>
    </w:tbl>
    <w:p w14:paraId="1422C4E0" w14:textId="77777777" w:rsidR="00AF76C4" w:rsidRPr="00541A4C" w:rsidRDefault="00AF76C4" w:rsidP="00115D65">
      <w:pPr>
        <w:rPr>
          <w:b/>
          <w:bCs/>
          <w:color w:val="C00000"/>
        </w:rPr>
      </w:pPr>
    </w:p>
    <w:tbl>
      <w:tblPr>
        <w:tblStyle w:val="TableGrid"/>
        <w:tblW w:w="0" w:type="auto"/>
        <w:tblLook w:val="04A0" w:firstRow="1" w:lastRow="0" w:firstColumn="1" w:lastColumn="0" w:noHBand="0" w:noVBand="1"/>
      </w:tblPr>
      <w:tblGrid>
        <w:gridCol w:w="9926"/>
      </w:tblGrid>
      <w:tr w:rsidR="00F4718F" w:rsidRPr="00541A4C" w14:paraId="4CC7F056" w14:textId="77777777" w:rsidTr="00E35ADB">
        <w:tc>
          <w:tcPr>
            <w:tcW w:w="9926" w:type="dxa"/>
            <w:shd w:val="clear" w:color="auto" w:fill="009193"/>
          </w:tcPr>
          <w:p w14:paraId="18422EEE" w14:textId="7C0AA276" w:rsidR="00F4718F" w:rsidRPr="00541A4C" w:rsidRDefault="00C94A73" w:rsidP="00EE3904">
            <w:pPr>
              <w:rPr>
                <w:color w:val="FFFFFF" w:themeColor="background1"/>
              </w:rPr>
            </w:pPr>
            <w:r w:rsidRPr="00541A4C">
              <w:rPr>
                <w:b/>
                <w:bCs/>
                <w:color w:val="FFFFFF" w:themeColor="background1"/>
              </w:rPr>
              <w:t>5</w:t>
            </w:r>
            <w:r w:rsidR="00C407EA" w:rsidRPr="00541A4C">
              <w:rPr>
                <w:b/>
                <w:bCs/>
                <w:color w:val="FFFFFF" w:themeColor="background1"/>
              </w:rPr>
              <w:t xml:space="preserve">. </w:t>
            </w:r>
            <w:r w:rsidR="36616812" w:rsidRPr="00541A4C">
              <w:rPr>
                <w:b/>
                <w:bCs/>
                <w:color w:val="FFFFFF" w:themeColor="background1"/>
              </w:rPr>
              <w:t>F</w:t>
            </w:r>
            <w:r w:rsidR="00CF2027" w:rsidRPr="00541A4C">
              <w:rPr>
                <w:b/>
                <w:bCs/>
                <w:color w:val="FFFFFF" w:themeColor="background1"/>
              </w:rPr>
              <w:t xml:space="preserve">acility Utilization Needs </w:t>
            </w:r>
          </w:p>
          <w:p w14:paraId="736A36DF" w14:textId="47335B4B" w:rsidR="00F4718F" w:rsidRPr="00541A4C" w:rsidRDefault="00F4718F" w:rsidP="00EE3904"/>
        </w:tc>
      </w:tr>
      <w:tr w:rsidR="00F4718F" w:rsidRPr="00541A4C" w14:paraId="3D6BF03A" w14:textId="77777777" w:rsidTr="5FAD3FD5">
        <w:tc>
          <w:tcPr>
            <w:tcW w:w="9926" w:type="dxa"/>
          </w:tcPr>
          <w:p w14:paraId="2D5BFFAA" w14:textId="105B688C" w:rsidR="00F4718F" w:rsidRPr="00541A4C" w:rsidRDefault="28E7BAB0" w:rsidP="00E35ADB">
            <w:pPr>
              <w:pStyle w:val="ListParagraph"/>
              <w:ind w:left="0"/>
              <w:rPr>
                <w:rFonts w:ascii="Times New Roman" w:hAnsi="Times New Roman" w:cs="Times New Roman"/>
                <w:b/>
                <w:bCs/>
                <w:sz w:val="24"/>
                <w:szCs w:val="24"/>
              </w:rPr>
            </w:pPr>
            <w:r w:rsidRPr="00541A4C">
              <w:rPr>
                <w:rFonts w:ascii="Times New Roman" w:hAnsi="Times New Roman" w:cs="Times New Roman"/>
                <w:b/>
                <w:bCs/>
                <w:color w:val="000000" w:themeColor="text1"/>
                <w:sz w:val="24"/>
                <w:szCs w:val="24"/>
              </w:rPr>
              <w:t xml:space="preserve">Assess your facilities utilization (including labs, support for online learning, and other spaces) and for </w:t>
            </w:r>
            <w:r w:rsidR="45609855" w:rsidRPr="00541A4C">
              <w:rPr>
                <w:rFonts w:ascii="Times New Roman" w:hAnsi="Times New Roman" w:cs="Times New Roman"/>
                <w:b/>
                <w:bCs/>
                <w:color w:val="000000" w:themeColor="text1"/>
                <w:sz w:val="24"/>
                <w:szCs w:val="24"/>
              </w:rPr>
              <w:t>next</w:t>
            </w:r>
            <w:r w:rsidRPr="00541A4C">
              <w:rPr>
                <w:rFonts w:ascii="Times New Roman" w:hAnsi="Times New Roman" w:cs="Times New Roman"/>
                <w:b/>
                <w:bCs/>
                <w:color w:val="000000" w:themeColor="text1"/>
                <w:sz w:val="24"/>
                <w:szCs w:val="24"/>
              </w:rPr>
              <w:t xml:space="preserve"> year, indicate if the space is sufficient</w:t>
            </w:r>
            <w:r w:rsidR="30FC0594" w:rsidRPr="00541A4C">
              <w:rPr>
                <w:rFonts w:ascii="Times New Roman" w:hAnsi="Times New Roman" w:cs="Times New Roman"/>
                <w:b/>
                <w:bCs/>
                <w:color w:val="000000" w:themeColor="text1"/>
                <w:sz w:val="24"/>
                <w:szCs w:val="24"/>
              </w:rPr>
              <w:t xml:space="preserve"> or not</w:t>
            </w:r>
            <w:r w:rsidRPr="00541A4C">
              <w:rPr>
                <w:rFonts w:ascii="Times New Roman" w:hAnsi="Times New Roman" w:cs="Times New Roman"/>
                <w:b/>
                <w:bCs/>
                <w:color w:val="000000" w:themeColor="text1"/>
                <w:sz w:val="24"/>
                <w:szCs w:val="24"/>
              </w:rPr>
              <w:t xml:space="preserve">.  If </w:t>
            </w:r>
            <w:r w:rsidR="1B149826" w:rsidRPr="00541A4C">
              <w:rPr>
                <w:rFonts w:ascii="Times New Roman" w:hAnsi="Times New Roman" w:cs="Times New Roman"/>
                <w:b/>
                <w:bCs/>
                <w:color w:val="000000" w:themeColor="text1"/>
                <w:sz w:val="24"/>
                <w:szCs w:val="24"/>
              </w:rPr>
              <w:t>not</w:t>
            </w:r>
            <w:r w:rsidRPr="00541A4C">
              <w:rPr>
                <w:rFonts w:ascii="Times New Roman" w:hAnsi="Times New Roman" w:cs="Times New Roman"/>
                <w:b/>
                <w:bCs/>
                <w:color w:val="000000" w:themeColor="text1"/>
                <w:sz w:val="24"/>
                <w:szCs w:val="24"/>
              </w:rPr>
              <w:t xml:space="preserve">, what are the needs and why? </w:t>
            </w:r>
            <w:r w:rsidR="00553BAD" w:rsidRPr="00541A4C">
              <w:rPr>
                <w:rFonts w:ascii="Times New Roman" w:hAnsi="Times New Roman" w:cs="Times New Roman"/>
                <w:b/>
                <w:bCs/>
                <w:color w:val="000000" w:themeColor="text1"/>
                <w:sz w:val="24"/>
                <w:szCs w:val="24"/>
              </w:rPr>
              <w:t xml:space="preserve">Work with </w:t>
            </w:r>
            <w:r w:rsidR="707ADD6B" w:rsidRPr="00541A4C">
              <w:rPr>
                <w:rFonts w:ascii="Times New Roman" w:hAnsi="Times New Roman" w:cs="Times New Roman"/>
                <w:b/>
                <w:bCs/>
                <w:color w:val="000000" w:themeColor="text1"/>
                <w:sz w:val="24"/>
                <w:szCs w:val="24"/>
              </w:rPr>
              <w:t>your Dean to check on your needs prior to responding this section.</w:t>
            </w:r>
          </w:p>
        </w:tc>
      </w:tr>
      <w:tr w:rsidR="00F4718F" w:rsidRPr="00541A4C" w14:paraId="4710BDA8" w14:textId="77777777" w:rsidTr="5FAD3FD5">
        <w:tc>
          <w:tcPr>
            <w:tcW w:w="9926" w:type="dxa"/>
            <w:shd w:val="clear" w:color="auto" w:fill="FFF2CC" w:themeFill="accent4" w:themeFillTint="33"/>
          </w:tcPr>
          <w:p w14:paraId="26F62D71" w14:textId="77777777" w:rsidR="00C57BA1" w:rsidRDefault="00C57BA1" w:rsidP="00C57BA1">
            <w:pPr>
              <w:ind w:left="360"/>
              <w:rPr>
                <w:rFonts w:ascii="Avenir" w:hAnsi="Avenir" w:cs="Segoe UI"/>
              </w:rPr>
            </w:pPr>
            <w:r>
              <w:rPr>
                <w:rFonts w:ascii="Avenir" w:hAnsi="Avenir" w:cs="Segoe UI"/>
              </w:rPr>
              <w:t>Social science faculty members utilize the larger classrooms at 2050 Center St. (rooms 422-424) as well as several of the rooms located in the basement of main campus. Many classrooms in 2050 Center Street do not have usable whiteboard space if the projector/screen are also in use that impacts our delivery of instruction.</w:t>
            </w:r>
          </w:p>
          <w:p w14:paraId="333FDBA2" w14:textId="77777777" w:rsidR="00C57BA1" w:rsidRDefault="00C57BA1" w:rsidP="00C57BA1">
            <w:pPr>
              <w:ind w:left="360"/>
              <w:rPr>
                <w:rFonts w:ascii="Avenir" w:hAnsi="Avenir" w:cs="Segoe UI"/>
              </w:rPr>
            </w:pPr>
          </w:p>
          <w:p w14:paraId="4D3A00D9" w14:textId="294E131C" w:rsidR="00C57BA1" w:rsidRDefault="00C57BA1" w:rsidP="00C57BA1">
            <w:pPr>
              <w:ind w:left="360"/>
              <w:rPr>
                <w:rFonts w:ascii="Avenir" w:hAnsi="Avenir" w:cs="Segoe UI"/>
              </w:rPr>
            </w:pPr>
            <w:r>
              <w:rPr>
                <w:rFonts w:ascii="Avenir" w:hAnsi="Avenir" w:cs="Segoe UI"/>
              </w:rPr>
              <w:lastRenderedPageBreak/>
              <w:t>In keeping with a pedagogical praxis of inclusivity, ETHST+ courses emphasize classroom discussions. An ideal classroom would have the space and/or ability to be converted into a discussion ‘in the round,’ as well as allowing for multiple breakout groups.</w:t>
            </w:r>
          </w:p>
          <w:p w14:paraId="453F5288" w14:textId="77777777" w:rsidR="00C57BA1" w:rsidRDefault="00C57BA1" w:rsidP="00C57BA1">
            <w:pPr>
              <w:ind w:left="360"/>
              <w:rPr>
                <w:rFonts w:ascii="Avenir" w:hAnsi="Avenir" w:cs="Segoe UI"/>
              </w:rPr>
            </w:pPr>
            <w:r>
              <w:rPr>
                <w:rFonts w:ascii="Avenir" w:hAnsi="Avenir" w:cs="Segoe UI"/>
              </w:rPr>
              <w:t>In collaboration colleagues in Humanities offering film classes, we collectively need updated and wider film screening facilities (devoted library room with staffing) and technology (computers with DVD players, headphones) for our film studies courses. At the minimum we recommend a dedicated classroom for courses that rely/utilize media.</w:t>
            </w:r>
          </w:p>
          <w:p w14:paraId="60BF335B" w14:textId="5F1DDCD5" w:rsidR="00F4718F" w:rsidRPr="00541A4C" w:rsidRDefault="00F4718F" w:rsidP="00EE3904"/>
          <w:p w14:paraId="198965BD" w14:textId="2D8EF7A5" w:rsidR="00F4718F" w:rsidRPr="00541A4C" w:rsidRDefault="00F4718F" w:rsidP="00EE3904"/>
        </w:tc>
      </w:tr>
    </w:tbl>
    <w:p w14:paraId="57540F35" w14:textId="4ED840DD" w:rsidR="009C2B01" w:rsidRPr="00541A4C" w:rsidRDefault="009C2B01" w:rsidP="00591A55">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926"/>
      </w:tblGrid>
      <w:tr w:rsidR="001C2F46" w:rsidRPr="00541A4C" w14:paraId="2638714C" w14:textId="77777777" w:rsidTr="00A45E54">
        <w:tc>
          <w:tcPr>
            <w:tcW w:w="9926" w:type="dxa"/>
            <w:shd w:val="clear" w:color="auto" w:fill="009193"/>
          </w:tcPr>
          <w:p w14:paraId="443451F1" w14:textId="04E8B112" w:rsidR="001C2F46" w:rsidRPr="00541A4C" w:rsidRDefault="00C94A73" w:rsidP="00115D65">
            <w:pPr>
              <w:pStyle w:val="NoSpacing"/>
              <w:ind w:left="80"/>
              <w:rPr>
                <w:rFonts w:ascii="Times New Roman" w:hAnsi="Times New Roman" w:cs="Times New Roman"/>
                <w:b/>
                <w:bCs/>
                <w:color w:val="FFFFFF" w:themeColor="background1"/>
                <w:sz w:val="24"/>
                <w:szCs w:val="24"/>
              </w:rPr>
            </w:pPr>
            <w:r w:rsidRPr="00541A4C">
              <w:rPr>
                <w:rFonts w:ascii="Times New Roman" w:hAnsi="Times New Roman" w:cs="Times New Roman"/>
                <w:b/>
                <w:bCs/>
                <w:color w:val="FFFFFF" w:themeColor="background1"/>
                <w:sz w:val="24"/>
                <w:szCs w:val="24"/>
              </w:rPr>
              <w:t>6</w:t>
            </w:r>
            <w:r w:rsidR="009005F8" w:rsidRPr="00541A4C">
              <w:rPr>
                <w:rFonts w:ascii="Times New Roman" w:hAnsi="Times New Roman" w:cs="Times New Roman"/>
                <w:b/>
                <w:bCs/>
                <w:color w:val="FFFFFF" w:themeColor="background1"/>
                <w:sz w:val="24"/>
                <w:szCs w:val="24"/>
              </w:rPr>
              <w:t xml:space="preserve">. </w:t>
            </w:r>
            <w:r w:rsidR="006B313F" w:rsidRPr="00541A4C">
              <w:rPr>
                <w:rFonts w:ascii="Times New Roman" w:hAnsi="Times New Roman" w:cs="Times New Roman"/>
                <w:b/>
                <w:bCs/>
                <w:color w:val="FFFFFF" w:themeColor="background1"/>
                <w:sz w:val="24"/>
                <w:szCs w:val="24"/>
              </w:rPr>
              <w:t>A</w:t>
            </w:r>
            <w:r w:rsidR="00CF2027" w:rsidRPr="00541A4C">
              <w:rPr>
                <w:rFonts w:ascii="Times New Roman" w:hAnsi="Times New Roman" w:cs="Times New Roman"/>
                <w:b/>
                <w:bCs/>
                <w:color w:val="FFFFFF" w:themeColor="background1"/>
                <w:sz w:val="24"/>
                <w:szCs w:val="24"/>
              </w:rPr>
              <w:t>ssessment</w:t>
            </w:r>
          </w:p>
        </w:tc>
      </w:tr>
      <w:tr w:rsidR="006B1C11" w:rsidRPr="00541A4C" w14:paraId="3AE8BFCE" w14:textId="77777777" w:rsidTr="00144786">
        <w:tc>
          <w:tcPr>
            <w:tcW w:w="9926" w:type="dxa"/>
            <w:shd w:val="clear" w:color="auto" w:fill="E2EFD9" w:themeFill="accent6" w:themeFillTint="33"/>
          </w:tcPr>
          <w:p w14:paraId="0A291560" w14:textId="77777777" w:rsidR="008828F5" w:rsidRPr="00541A4C" w:rsidRDefault="006441C5" w:rsidP="006B1C11">
            <w:pPr>
              <w:rPr>
                <w:color w:val="000000" w:themeColor="text1"/>
              </w:rPr>
            </w:pPr>
            <w:r w:rsidRPr="00541A4C">
              <w:rPr>
                <w:color w:val="000000" w:themeColor="text1"/>
              </w:rPr>
              <w:t xml:space="preserve">Berkeley City College is committed to a culture of assessment to improve instruction, services, and institutional planning.  Findings from SLO, PLO, ALO assessments, and program review data are used to direct resources for areas that are institutional priorities that are articulated in the Educational Master Plan and BCC Strategic Plan.  </w:t>
            </w:r>
          </w:p>
          <w:p w14:paraId="73930261" w14:textId="77777777" w:rsidR="008828F5" w:rsidRPr="00541A4C" w:rsidRDefault="008828F5" w:rsidP="006B1C11">
            <w:pPr>
              <w:rPr>
                <w:color w:val="000000" w:themeColor="text1"/>
              </w:rPr>
            </w:pPr>
          </w:p>
          <w:p w14:paraId="593AAC16" w14:textId="668BF5EA" w:rsidR="006B1C11" w:rsidRPr="00541A4C" w:rsidRDefault="006441C5" w:rsidP="006B1C11">
            <w:pPr>
              <w:rPr>
                <w:color w:val="000000" w:themeColor="text1"/>
              </w:rPr>
            </w:pPr>
            <w:r w:rsidRPr="00541A4C">
              <w:rPr>
                <w:color w:val="000000" w:themeColor="text1"/>
              </w:rPr>
              <w:t xml:space="preserve">Due to the critical role that course and program assessments play in our institutional planning and to </w:t>
            </w:r>
            <w:proofErr w:type="gramStart"/>
            <w:r w:rsidRPr="00541A4C">
              <w:rPr>
                <w:color w:val="000000" w:themeColor="text1"/>
              </w:rPr>
              <w:t>be in compliance with</w:t>
            </w:r>
            <w:proofErr w:type="gramEnd"/>
            <w:r w:rsidRPr="00541A4C">
              <w:rPr>
                <w:color w:val="000000" w:themeColor="text1"/>
              </w:rPr>
              <w:t xml:space="preserve"> the Accreditation requirements, </w:t>
            </w:r>
            <w:r w:rsidR="008828F5" w:rsidRPr="00541A4C">
              <w:rPr>
                <w:color w:val="000000" w:themeColor="text1"/>
              </w:rPr>
              <w:t xml:space="preserve">assessments must be completed to qualify for </w:t>
            </w:r>
            <w:r w:rsidRPr="00541A4C">
              <w:rPr>
                <w:color w:val="000000" w:themeColor="text1"/>
              </w:rPr>
              <w:t xml:space="preserve">the </w:t>
            </w:r>
            <w:r w:rsidR="008828F5" w:rsidRPr="00541A4C">
              <w:rPr>
                <w:color w:val="000000" w:themeColor="text1"/>
              </w:rPr>
              <w:t>APU</w:t>
            </w:r>
            <w:r w:rsidRPr="00541A4C">
              <w:rPr>
                <w:color w:val="000000" w:themeColor="text1"/>
              </w:rPr>
              <w:t xml:space="preserve"> resource allocation requests</w:t>
            </w:r>
            <w:r w:rsidR="008828F5" w:rsidRPr="00541A4C">
              <w:rPr>
                <w:color w:val="000000" w:themeColor="text1"/>
              </w:rPr>
              <w:t>.</w:t>
            </w:r>
          </w:p>
        </w:tc>
      </w:tr>
      <w:tr w:rsidR="00266533" w:rsidRPr="00541A4C" w14:paraId="5080D8E1" w14:textId="77777777" w:rsidTr="00266533">
        <w:tc>
          <w:tcPr>
            <w:tcW w:w="9926" w:type="dxa"/>
            <w:shd w:val="clear" w:color="auto" w:fill="auto"/>
          </w:tcPr>
          <w:p w14:paraId="4CFE3D42" w14:textId="2FEE8F59" w:rsidR="00266533" w:rsidRPr="00541A4C" w:rsidRDefault="00C94A73" w:rsidP="006B1C11">
            <w:pPr>
              <w:rPr>
                <w:b/>
                <w:bCs/>
                <w:color w:val="000000" w:themeColor="text1"/>
              </w:rPr>
            </w:pPr>
            <w:r w:rsidRPr="00541A4C">
              <w:rPr>
                <w:b/>
                <w:bCs/>
              </w:rPr>
              <w:t>6</w:t>
            </w:r>
            <w:r w:rsidR="00EB4E58" w:rsidRPr="00541A4C">
              <w:rPr>
                <w:b/>
                <w:bCs/>
              </w:rPr>
              <w:t>a</w:t>
            </w:r>
            <w:r w:rsidR="00266533" w:rsidRPr="00541A4C">
              <w:rPr>
                <w:b/>
                <w:bCs/>
              </w:rPr>
              <w:t xml:space="preserve">. </w:t>
            </w:r>
            <w:r w:rsidR="006441C5" w:rsidRPr="00541A4C">
              <w:rPr>
                <w:rStyle w:val="normaltextrun"/>
                <w:b/>
                <w:bCs/>
                <w:color w:val="000000" w:themeColor="text1"/>
              </w:rPr>
              <w:t>What action plans did your department identify upon the assessment of each SLOs and/or PLOs? For courses with multiple sections in the program, please list the main action plans.   Please be as detailed as possible.</w:t>
            </w:r>
            <w:r w:rsidR="006441C5" w:rsidRPr="00541A4C">
              <w:rPr>
                <w:rStyle w:val="eop"/>
                <w:b/>
                <w:bCs/>
                <w:color w:val="000000" w:themeColor="text1"/>
              </w:rPr>
              <w:t> </w:t>
            </w:r>
          </w:p>
        </w:tc>
      </w:tr>
      <w:tr w:rsidR="00266533" w:rsidRPr="00541A4C" w14:paraId="41D5C00B" w14:textId="77777777" w:rsidTr="00821912">
        <w:tc>
          <w:tcPr>
            <w:tcW w:w="9926" w:type="dxa"/>
            <w:shd w:val="clear" w:color="auto" w:fill="FFF2CC" w:themeFill="accent4" w:themeFillTint="33"/>
          </w:tcPr>
          <w:p w14:paraId="606CB271" w14:textId="265E5107" w:rsidR="005726DA" w:rsidRPr="00326C73" w:rsidRDefault="005726DA" w:rsidP="005726DA">
            <w:pPr>
              <w:rPr>
                <w:shd w:val="clear" w:color="auto" w:fill="F0F0F0"/>
              </w:rPr>
            </w:pPr>
            <w:r w:rsidRPr="00326C73">
              <w:rPr>
                <w:shd w:val="clear" w:color="auto" w:fill="F0F0F0"/>
              </w:rPr>
              <w:t>ETHST 1 and ETHST 2 were last assessed in Spring 2020. MLAT 30A was assessed in Fall 2020. ASAME 11 was assessed in Fall 2021.</w:t>
            </w:r>
          </w:p>
          <w:p w14:paraId="0CDA9B23" w14:textId="2508DF56" w:rsidR="00266533" w:rsidRPr="005726DA" w:rsidRDefault="00914622" w:rsidP="005726DA">
            <w:r w:rsidRPr="00326C73">
              <w:rPr>
                <w:shd w:val="clear" w:color="auto" w:fill="F0F0F0"/>
              </w:rPr>
              <w:t>Assessment made based upon student responses to discussion prompts reflective of course materials, to provide in effect a pre- and post-test. Student demonstrated growth and improvement in all three SLO areas, in the context of the assessment.  </w:t>
            </w:r>
            <w:r w:rsidR="005726DA" w:rsidRPr="00326C73">
              <w:rPr>
                <w:shd w:val="clear" w:color="auto" w:fill="F0F0F0"/>
              </w:rPr>
              <w:t>Assessment of SLO as initially planned involved pre-/post- group demonstration of competencies. Separating out descriptive and evaluative aspects of SLO may help provide more details.</w:t>
            </w:r>
            <w:bookmarkStart w:id="2" w:name="_GoBack"/>
            <w:bookmarkEnd w:id="2"/>
          </w:p>
          <w:p w14:paraId="6138244E" w14:textId="60D9A312" w:rsidR="00266533" w:rsidRPr="00541A4C" w:rsidRDefault="00266533" w:rsidP="006B1C11">
            <w:pPr>
              <w:rPr>
                <w:color w:val="000000" w:themeColor="text1"/>
              </w:rPr>
            </w:pPr>
          </w:p>
        </w:tc>
      </w:tr>
      <w:tr w:rsidR="00266533" w:rsidRPr="00541A4C" w14:paraId="50C11621" w14:textId="77777777" w:rsidTr="00266533">
        <w:tc>
          <w:tcPr>
            <w:tcW w:w="9926" w:type="dxa"/>
            <w:shd w:val="clear" w:color="auto" w:fill="auto"/>
          </w:tcPr>
          <w:p w14:paraId="553AEDC9" w14:textId="51F70DA7" w:rsidR="00266533" w:rsidRPr="00541A4C" w:rsidRDefault="00C94A73" w:rsidP="00266533">
            <w:pPr>
              <w:pStyle w:val="paragraph"/>
              <w:spacing w:before="0" w:beforeAutospacing="0" w:after="0" w:afterAutospacing="0"/>
              <w:textAlignment w:val="baseline"/>
              <w:rPr>
                <w:b/>
                <w:bCs/>
                <w:color w:val="000000" w:themeColor="text1"/>
              </w:rPr>
            </w:pPr>
            <w:r w:rsidRPr="00541A4C">
              <w:rPr>
                <w:b/>
                <w:bCs/>
              </w:rPr>
              <w:t>6</w:t>
            </w:r>
            <w:r w:rsidR="00EB4E58" w:rsidRPr="00541A4C">
              <w:rPr>
                <w:b/>
                <w:bCs/>
              </w:rPr>
              <w:t>b</w:t>
            </w:r>
            <w:r w:rsidR="00266533" w:rsidRPr="00541A4C">
              <w:rPr>
                <w:rStyle w:val="normaltextrun"/>
                <w:b/>
                <w:bCs/>
                <w:color w:val="000000" w:themeColor="text1"/>
              </w:rPr>
              <w:t xml:space="preserve">. </w:t>
            </w:r>
            <w:r w:rsidR="006441C5" w:rsidRPr="00541A4C">
              <w:rPr>
                <w:b/>
                <w:bCs/>
              </w:rPr>
              <w:t>Describe the department’s progress on the Actions Plans identified for course Student Learning Outcomes (SLOs). If your department offers a degree or certificate, please describe the department’s progress on the Action Plans for Program Learning Outcomes (PLOs).</w:t>
            </w:r>
          </w:p>
        </w:tc>
      </w:tr>
      <w:tr w:rsidR="00266533" w:rsidRPr="00541A4C" w14:paraId="04385075" w14:textId="77777777" w:rsidTr="00821912">
        <w:tc>
          <w:tcPr>
            <w:tcW w:w="9926" w:type="dxa"/>
            <w:shd w:val="clear" w:color="auto" w:fill="FFF2CC" w:themeFill="accent4" w:themeFillTint="33"/>
          </w:tcPr>
          <w:p w14:paraId="22A11A1C" w14:textId="749C0DCF" w:rsidR="00266533" w:rsidRPr="00541A4C" w:rsidRDefault="005726DA" w:rsidP="006B1C11">
            <w:pPr>
              <w:rPr>
                <w:color w:val="000000" w:themeColor="text1"/>
              </w:rPr>
            </w:pPr>
            <w:r>
              <w:rPr>
                <w:color w:val="000000" w:themeColor="text1"/>
              </w:rPr>
              <w:t>Action plans suggest revisiting criteria in the assessments, with a more focused set of measurements as tied to the SLOs. Following the revisions of the course outlines this will continue.</w:t>
            </w:r>
          </w:p>
          <w:p w14:paraId="746C9260" w14:textId="46D6344C" w:rsidR="00266533" w:rsidRPr="00541A4C" w:rsidRDefault="00266533" w:rsidP="006B1C11">
            <w:pPr>
              <w:rPr>
                <w:color w:val="000000" w:themeColor="text1"/>
              </w:rPr>
            </w:pPr>
          </w:p>
        </w:tc>
      </w:tr>
      <w:tr w:rsidR="00266533" w:rsidRPr="00541A4C" w14:paraId="5A61B96C" w14:textId="77777777" w:rsidTr="00266533">
        <w:tc>
          <w:tcPr>
            <w:tcW w:w="9926" w:type="dxa"/>
            <w:shd w:val="clear" w:color="auto" w:fill="auto"/>
          </w:tcPr>
          <w:p w14:paraId="0786D338" w14:textId="3B088E0F" w:rsidR="00266533" w:rsidRPr="00541A4C" w:rsidRDefault="00C94A73" w:rsidP="00266533">
            <w:pPr>
              <w:pStyle w:val="paragraph"/>
              <w:spacing w:before="0" w:beforeAutospacing="0" w:after="0" w:afterAutospacing="0"/>
              <w:textAlignment w:val="baseline"/>
              <w:rPr>
                <w:color w:val="000000" w:themeColor="text1"/>
              </w:rPr>
            </w:pPr>
            <w:r w:rsidRPr="00541A4C">
              <w:rPr>
                <w:b/>
                <w:bCs/>
              </w:rPr>
              <w:t>6</w:t>
            </w:r>
            <w:r w:rsidR="00EB4E58" w:rsidRPr="00541A4C">
              <w:rPr>
                <w:b/>
                <w:bCs/>
              </w:rPr>
              <w:t>c</w:t>
            </w:r>
            <w:r w:rsidR="00266533" w:rsidRPr="00541A4C">
              <w:rPr>
                <w:rStyle w:val="normaltextrun"/>
                <w:b/>
                <w:bCs/>
                <w:color w:val="000000" w:themeColor="text1"/>
              </w:rPr>
              <w:t xml:space="preserve">. </w:t>
            </w:r>
            <w:r w:rsidR="006441C5" w:rsidRPr="00541A4C">
              <w:rPr>
                <w:rStyle w:val="normaltextrun"/>
                <w:b/>
                <w:bCs/>
                <w:color w:val="000000" w:themeColor="text1"/>
              </w:rPr>
              <w:t>Describe the status of SLO and PLO completion in Rounds 4 and 5 of the Assessment Cycle. Identify the percent of completion. Briefly describe what needs to be done to reach 100% completion. Identify issues or concerns that may prevent your department from completing assessments of SLOs and/or PLOs.</w:t>
            </w:r>
            <w:r w:rsidR="006441C5" w:rsidRPr="00541A4C">
              <w:rPr>
                <w:rStyle w:val="eop"/>
                <w:b/>
                <w:bCs/>
                <w:color w:val="000000" w:themeColor="text1"/>
              </w:rPr>
              <w:t> </w:t>
            </w:r>
            <w:r w:rsidR="00F36389" w:rsidRPr="00541A4C">
              <w:rPr>
                <w:color w:val="000000" w:themeColor="text1"/>
              </w:rPr>
              <w:t xml:space="preserve"> </w:t>
            </w:r>
          </w:p>
        </w:tc>
      </w:tr>
      <w:tr w:rsidR="00266533" w:rsidRPr="00541A4C" w14:paraId="28C9772E" w14:textId="77777777" w:rsidTr="00821912">
        <w:tc>
          <w:tcPr>
            <w:tcW w:w="9926" w:type="dxa"/>
            <w:shd w:val="clear" w:color="auto" w:fill="FFF2CC" w:themeFill="accent4" w:themeFillTint="33"/>
          </w:tcPr>
          <w:p w14:paraId="3C278002" w14:textId="1F4A1AE6" w:rsidR="00266533" w:rsidRPr="00541A4C" w:rsidRDefault="005726DA" w:rsidP="006B1C11">
            <w:pPr>
              <w:rPr>
                <w:color w:val="000000" w:themeColor="text1"/>
              </w:rPr>
            </w:pPr>
            <w:r>
              <w:rPr>
                <w:color w:val="000000" w:themeColor="text1"/>
              </w:rPr>
              <w:t xml:space="preserve">Assessments of ETHST 1, ETHST 2, MLAT </w:t>
            </w:r>
            <w:r w:rsidR="00C33365">
              <w:rPr>
                <w:color w:val="000000" w:themeColor="text1"/>
              </w:rPr>
              <w:t xml:space="preserve">30A, and ASAME 11 </w:t>
            </w:r>
            <w:r>
              <w:rPr>
                <w:color w:val="000000" w:themeColor="text1"/>
              </w:rPr>
              <w:t>were completed during the last cycle</w:t>
            </w:r>
            <w:r w:rsidR="00C33365">
              <w:rPr>
                <w:color w:val="000000" w:themeColor="text1"/>
              </w:rPr>
              <w:t>, and are scheduled for assessments starting Spring 2023.</w:t>
            </w:r>
          </w:p>
          <w:p w14:paraId="6B54A1A0" w14:textId="397E44F0" w:rsidR="00266533" w:rsidRPr="00541A4C" w:rsidRDefault="00266533" w:rsidP="006B1C11">
            <w:pPr>
              <w:rPr>
                <w:color w:val="000000" w:themeColor="text1"/>
              </w:rPr>
            </w:pPr>
          </w:p>
        </w:tc>
      </w:tr>
      <w:tr w:rsidR="00266533" w:rsidRPr="00541A4C" w14:paraId="393FF9BA" w14:textId="77777777" w:rsidTr="00266533">
        <w:tc>
          <w:tcPr>
            <w:tcW w:w="9926" w:type="dxa"/>
            <w:shd w:val="clear" w:color="auto" w:fill="auto"/>
          </w:tcPr>
          <w:p w14:paraId="683E4DEA" w14:textId="00354690" w:rsidR="00266533" w:rsidRPr="00541A4C" w:rsidRDefault="00C94A73" w:rsidP="006B1C11">
            <w:pPr>
              <w:rPr>
                <w:color w:val="000000" w:themeColor="text1"/>
              </w:rPr>
            </w:pPr>
            <w:r w:rsidRPr="00541A4C">
              <w:rPr>
                <w:b/>
                <w:bCs/>
              </w:rPr>
              <w:lastRenderedPageBreak/>
              <w:t>6</w:t>
            </w:r>
            <w:r w:rsidR="00EB4E58" w:rsidRPr="00541A4C">
              <w:rPr>
                <w:b/>
                <w:bCs/>
              </w:rPr>
              <w:t>d</w:t>
            </w:r>
            <w:r w:rsidR="00266533" w:rsidRPr="00541A4C">
              <w:rPr>
                <w:b/>
                <w:bCs/>
                <w:color w:val="000000" w:themeColor="text1"/>
              </w:rPr>
              <w:t xml:space="preserve">. </w:t>
            </w:r>
            <w:r w:rsidR="006441C5" w:rsidRPr="00541A4C">
              <w:rPr>
                <w:b/>
                <w:bCs/>
                <w:color w:val="000000" w:themeColor="text1"/>
              </w:rPr>
              <w:t>Besides your syllabi, where are the program level outcomes published? If on a website, please specify the URL.</w:t>
            </w:r>
          </w:p>
        </w:tc>
      </w:tr>
      <w:tr w:rsidR="00266533" w:rsidRPr="00541A4C" w14:paraId="1954B20D" w14:textId="77777777" w:rsidTr="00821912">
        <w:tc>
          <w:tcPr>
            <w:tcW w:w="9926" w:type="dxa"/>
            <w:shd w:val="clear" w:color="auto" w:fill="FFF2CC" w:themeFill="accent4" w:themeFillTint="33"/>
          </w:tcPr>
          <w:p w14:paraId="44DD73B2" w14:textId="77777777" w:rsidR="00266533" w:rsidRPr="00541A4C" w:rsidRDefault="00266533" w:rsidP="006B1C11">
            <w:pPr>
              <w:rPr>
                <w:color w:val="000000" w:themeColor="text1"/>
              </w:rPr>
            </w:pPr>
          </w:p>
          <w:p w14:paraId="786D6F53" w14:textId="526697E1" w:rsidR="00266533" w:rsidRPr="00541A4C" w:rsidRDefault="00266533" w:rsidP="006B1C11">
            <w:pPr>
              <w:rPr>
                <w:color w:val="000000" w:themeColor="text1"/>
              </w:rPr>
            </w:pPr>
          </w:p>
        </w:tc>
      </w:tr>
    </w:tbl>
    <w:p w14:paraId="1A87170C" w14:textId="4A5C7B21" w:rsidR="009C2B01" w:rsidRPr="00541A4C" w:rsidRDefault="009C2B01">
      <w:pPr>
        <w:spacing w:after="160" w:line="259" w:lineRule="auto"/>
        <w:rPr>
          <w:color w:val="FF0000"/>
        </w:rPr>
      </w:pPr>
    </w:p>
    <w:tbl>
      <w:tblPr>
        <w:tblStyle w:val="TableGrid"/>
        <w:tblW w:w="0" w:type="auto"/>
        <w:tblLook w:val="04A0" w:firstRow="1" w:lastRow="0" w:firstColumn="1" w:lastColumn="0" w:noHBand="0" w:noVBand="1"/>
      </w:tblPr>
      <w:tblGrid>
        <w:gridCol w:w="9926"/>
      </w:tblGrid>
      <w:tr w:rsidR="006F23C4" w:rsidRPr="00541A4C" w14:paraId="4061F385" w14:textId="77777777" w:rsidTr="5FAD3FD5">
        <w:trPr>
          <w:trHeight w:val="440"/>
        </w:trPr>
        <w:tc>
          <w:tcPr>
            <w:tcW w:w="9926" w:type="dxa"/>
            <w:shd w:val="clear" w:color="auto" w:fill="009193"/>
          </w:tcPr>
          <w:p w14:paraId="2111BBE5" w14:textId="4AA70FF1" w:rsidR="006F23C4" w:rsidRPr="00541A4C" w:rsidRDefault="00C94A73" w:rsidP="00E35ADB">
            <w:pPr>
              <w:ind w:left="80"/>
              <w:rPr>
                <w:b/>
                <w:bCs/>
                <w:color w:val="FFFFFF" w:themeColor="background1"/>
              </w:rPr>
            </w:pPr>
            <w:r w:rsidRPr="00541A4C">
              <w:rPr>
                <w:b/>
                <w:bCs/>
                <w:color w:val="FFFFFF" w:themeColor="background1"/>
              </w:rPr>
              <w:t>7</w:t>
            </w:r>
            <w:r w:rsidR="00EB4E58" w:rsidRPr="00541A4C">
              <w:rPr>
                <w:b/>
                <w:bCs/>
                <w:color w:val="FFFFFF" w:themeColor="background1"/>
              </w:rPr>
              <w:t xml:space="preserve">. </w:t>
            </w:r>
            <w:r w:rsidR="006F23C4" w:rsidRPr="00541A4C">
              <w:rPr>
                <w:b/>
                <w:bCs/>
                <w:color w:val="FFFFFF" w:themeColor="background1"/>
              </w:rPr>
              <w:t>E</w:t>
            </w:r>
            <w:r w:rsidR="00CF2027" w:rsidRPr="00541A4C">
              <w:rPr>
                <w:b/>
                <w:bCs/>
                <w:color w:val="FFFFFF" w:themeColor="background1"/>
              </w:rPr>
              <w:t>ngagement</w:t>
            </w:r>
          </w:p>
        </w:tc>
      </w:tr>
      <w:tr w:rsidR="006F23C4" w:rsidRPr="00541A4C" w14:paraId="7AAA495A" w14:textId="77777777" w:rsidTr="5FAD3FD5">
        <w:tc>
          <w:tcPr>
            <w:tcW w:w="9926" w:type="dxa"/>
          </w:tcPr>
          <w:p w14:paraId="08C7F90E" w14:textId="19C02F1B" w:rsidR="006F23C4" w:rsidRPr="00541A4C" w:rsidRDefault="006F23C4">
            <w:pPr>
              <w:spacing w:after="160" w:line="259" w:lineRule="auto"/>
              <w:rPr>
                <w:color w:val="FF0000"/>
              </w:rPr>
            </w:pPr>
            <w:r w:rsidRPr="00541A4C">
              <w:rPr>
                <w:b/>
                <w:bCs/>
              </w:rPr>
              <w:t xml:space="preserve">Discuss how faculty and </w:t>
            </w:r>
            <w:r w:rsidR="00E42BC9" w:rsidRPr="00541A4C">
              <w:rPr>
                <w:b/>
                <w:bCs/>
              </w:rPr>
              <w:t xml:space="preserve">classified </w:t>
            </w:r>
            <w:r w:rsidRPr="00541A4C">
              <w:rPr>
                <w:b/>
                <w:bCs/>
              </w:rPr>
              <w:t>staff have engaged in institutional efforts such as committees, presentations, and departmental activities. Please list the committees that full-time faculty participate in.</w:t>
            </w:r>
          </w:p>
        </w:tc>
      </w:tr>
      <w:tr w:rsidR="006F23C4" w:rsidRPr="00541A4C" w14:paraId="5EF45BB7" w14:textId="77777777" w:rsidTr="5FAD3FD5">
        <w:tc>
          <w:tcPr>
            <w:tcW w:w="9926" w:type="dxa"/>
            <w:shd w:val="clear" w:color="auto" w:fill="FFF2CC" w:themeFill="accent4" w:themeFillTint="33"/>
          </w:tcPr>
          <w:p w14:paraId="088A5225" w14:textId="3D7DFA62" w:rsidR="00742481" w:rsidRDefault="00C33365">
            <w:pPr>
              <w:spacing w:after="160" w:line="259" w:lineRule="auto"/>
              <w:rPr>
                <w:color w:val="000000" w:themeColor="text1"/>
              </w:rPr>
            </w:pPr>
            <w:r>
              <w:rPr>
                <w:color w:val="000000" w:themeColor="text1"/>
              </w:rPr>
              <w:t xml:space="preserve">Ethnic Studies + faculty are engaged to the extent possible in departmental, campus, and district activities. The FT ES instructor serves as the Coordinator for the district’s Faculty Diversity Internship Program. Other service projects include </w:t>
            </w:r>
          </w:p>
          <w:p w14:paraId="14232180" w14:textId="3915F3C1" w:rsidR="00742481" w:rsidRDefault="00742481">
            <w:pPr>
              <w:spacing w:after="160" w:line="259" w:lineRule="auto"/>
              <w:rPr>
                <w:color w:val="000000" w:themeColor="text1"/>
              </w:rPr>
            </w:pPr>
            <w:r>
              <w:rPr>
                <w:color w:val="000000" w:themeColor="text1"/>
              </w:rPr>
              <w:t>Participation as a faculty representative on the President’s Task Force on Equity &amp; Racial Justice;</w:t>
            </w:r>
          </w:p>
          <w:p w14:paraId="1A34FB32" w14:textId="5EABAA86" w:rsidR="00742481" w:rsidRDefault="00742481">
            <w:pPr>
              <w:spacing w:after="160" w:line="259" w:lineRule="auto"/>
              <w:rPr>
                <w:color w:val="000000" w:themeColor="text1"/>
              </w:rPr>
            </w:pPr>
            <w:r>
              <w:rPr>
                <w:color w:val="000000" w:themeColor="text1"/>
              </w:rPr>
              <w:t>External member on the Tenure Review Committee in Art, and as part of the Communication search committee in the Humanities Department;</w:t>
            </w:r>
          </w:p>
          <w:p w14:paraId="7AB9C8B8" w14:textId="664FBC96" w:rsidR="00742481" w:rsidRDefault="00742481">
            <w:pPr>
              <w:spacing w:after="160" w:line="259" w:lineRule="auto"/>
              <w:rPr>
                <w:color w:val="000000" w:themeColor="text1"/>
              </w:rPr>
            </w:pPr>
            <w:r>
              <w:rPr>
                <w:color w:val="000000" w:themeColor="text1"/>
              </w:rPr>
              <w:t>Scholarship reviewer, for BCC’s Dreamers’ scholarship and PCCD’s PACLA scholarship;</w:t>
            </w:r>
          </w:p>
          <w:p w14:paraId="7863DA9B" w14:textId="268275CD" w:rsidR="00742481" w:rsidRDefault="00742481">
            <w:pPr>
              <w:spacing w:after="160" w:line="259" w:lineRule="auto"/>
              <w:rPr>
                <w:color w:val="000000" w:themeColor="text1"/>
              </w:rPr>
            </w:pPr>
            <w:r>
              <w:rPr>
                <w:color w:val="000000" w:themeColor="text1"/>
              </w:rPr>
              <w:t>P</w:t>
            </w:r>
            <w:r w:rsidR="00C33365">
              <w:rPr>
                <w:color w:val="000000" w:themeColor="text1"/>
              </w:rPr>
              <w:t>resentations on diversity, equity, inclusion, and anti-racist hiring practices and policies, to BCC and District academic senates</w:t>
            </w:r>
            <w:r>
              <w:rPr>
                <w:color w:val="000000" w:themeColor="text1"/>
              </w:rPr>
              <w:t>, as part of a working-group</w:t>
            </w:r>
            <w:r w:rsidR="00C33365">
              <w:rPr>
                <w:color w:val="000000" w:themeColor="text1"/>
              </w:rPr>
              <w:t xml:space="preserve">; </w:t>
            </w:r>
          </w:p>
          <w:p w14:paraId="75EDFF01" w14:textId="47C0A8E6" w:rsidR="00393468" w:rsidRDefault="00393468">
            <w:pPr>
              <w:spacing w:after="160" w:line="259" w:lineRule="auto"/>
              <w:rPr>
                <w:color w:val="000000" w:themeColor="text1"/>
              </w:rPr>
            </w:pPr>
            <w:r>
              <w:rPr>
                <w:color w:val="000000" w:themeColor="text1"/>
              </w:rPr>
              <w:t>Facilitating a faculty reading seminar at BCC organized around race, coloniality, and abolition, as part of a Guided Pathways-sponsored initiative.</w:t>
            </w:r>
          </w:p>
          <w:p w14:paraId="71CCF588" w14:textId="5BE4ECF8" w:rsidR="006F23C4" w:rsidRPr="00C33365" w:rsidRDefault="00C33365">
            <w:pPr>
              <w:spacing w:after="160" w:line="259" w:lineRule="auto"/>
              <w:rPr>
                <w:color w:val="000000" w:themeColor="text1"/>
              </w:rPr>
            </w:pPr>
            <w:r>
              <w:rPr>
                <w:color w:val="000000" w:themeColor="text1"/>
              </w:rPr>
              <w:t xml:space="preserve">organizing, moderating, and/or speaking at events and programs, including documentary presentations, student-focused panel on careers in the community college, and a conversation around abolitionist </w:t>
            </w:r>
            <w:r w:rsidR="00742481">
              <w:rPr>
                <w:color w:val="000000" w:themeColor="text1"/>
              </w:rPr>
              <w:t>pedagogies.</w:t>
            </w:r>
          </w:p>
        </w:tc>
      </w:tr>
      <w:tr w:rsidR="006F23C4" w:rsidRPr="00541A4C" w14:paraId="4D9BF74A" w14:textId="77777777" w:rsidTr="5FAD3FD5">
        <w:tc>
          <w:tcPr>
            <w:tcW w:w="9926" w:type="dxa"/>
          </w:tcPr>
          <w:p w14:paraId="5F6F5851" w14:textId="6693C22B" w:rsidR="006F23C4" w:rsidRPr="00541A4C" w:rsidRDefault="006F23C4" w:rsidP="006F23C4">
            <w:pPr>
              <w:spacing w:after="160" w:line="259" w:lineRule="auto"/>
              <w:rPr>
                <w:color w:val="FF0000"/>
              </w:rPr>
            </w:pPr>
            <w:r w:rsidRPr="00541A4C">
              <w:rPr>
                <w:b/>
                <w:bCs/>
              </w:rPr>
              <w:t>Discuss how faculty and staff have engaged in community activities, partnerships and/or collaborations.</w:t>
            </w:r>
          </w:p>
        </w:tc>
      </w:tr>
      <w:tr w:rsidR="006F23C4" w:rsidRPr="00541A4C" w14:paraId="5C847E50" w14:textId="77777777" w:rsidTr="5FAD3FD5">
        <w:tc>
          <w:tcPr>
            <w:tcW w:w="9926" w:type="dxa"/>
            <w:shd w:val="clear" w:color="auto" w:fill="FFF2CC" w:themeFill="accent4" w:themeFillTint="33"/>
          </w:tcPr>
          <w:p w14:paraId="5DB015FB" w14:textId="5BDD7914" w:rsidR="006F23C4" w:rsidRPr="004D7F9E" w:rsidRDefault="00A65F5E" w:rsidP="006F23C4">
            <w:pPr>
              <w:spacing w:after="160" w:line="259" w:lineRule="auto"/>
              <w:rPr>
                <w:color w:val="000000" w:themeColor="text1"/>
              </w:rPr>
            </w:pPr>
            <w:r>
              <w:rPr>
                <w:color w:val="000000" w:themeColor="text1"/>
              </w:rPr>
              <w:t xml:space="preserve">Faculty </w:t>
            </w:r>
            <w:r w:rsidR="005879F5">
              <w:rPr>
                <w:color w:val="000000" w:themeColor="text1"/>
              </w:rPr>
              <w:t xml:space="preserve">involvement with the greater SF Bay Area community </w:t>
            </w:r>
            <w:r w:rsidR="004D7F9E">
              <w:rPr>
                <w:color w:val="000000" w:themeColor="text1"/>
              </w:rPr>
              <w:t xml:space="preserve">includes outreach and partnership development with area colleges, primarily through the FDIP Coordinator position, as well as more specific partnerships with area Ethnic Studies + programs to support instructional, staffing, and mentorship in the </w:t>
            </w:r>
            <w:r w:rsidR="004D7F9E" w:rsidRPr="004D7F9E">
              <w:rPr>
                <w:color w:val="000000" w:themeColor="text1"/>
              </w:rPr>
              <w:t xml:space="preserve">field. </w:t>
            </w:r>
          </w:p>
          <w:p w14:paraId="01E95CDC" w14:textId="095D05A5" w:rsidR="004D7F9E" w:rsidRDefault="004D7F9E" w:rsidP="006F23C4">
            <w:pPr>
              <w:spacing w:after="160" w:line="259" w:lineRule="auto"/>
              <w:rPr>
                <w:color w:val="000000" w:themeColor="text1"/>
              </w:rPr>
            </w:pPr>
            <w:r w:rsidRPr="004D7F9E">
              <w:rPr>
                <w:color w:val="000000" w:themeColor="text1"/>
              </w:rPr>
              <w:t xml:space="preserve">Other areas of involvement include </w:t>
            </w:r>
            <w:r w:rsidR="00393468">
              <w:rPr>
                <w:color w:val="000000" w:themeColor="text1"/>
              </w:rPr>
              <w:t>but are not limited to</w:t>
            </w:r>
          </w:p>
          <w:p w14:paraId="574CFE0B" w14:textId="0FDC2A2C" w:rsidR="004D7F9E" w:rsidRDefault="004D7F9E" w:rsidP="006F23C4">
            <w:pPr>
              <w:spacing w:after="160" w:line="259" w:lineRule="auto"/>
            </w:pPr>
            <w:r w:rsidRPr="004D7F9E">
              <w:rPr>
                <w:color w:val="000000" w:themeColor="text1"/>
              </w:rPr>
              <w:t xml:space="preserve">serving as the external member on the dissertation advisory committee of Calvin Monroe, through the </w:t>
            </w:r>
            <w:proofErr w:type="spellStart"/>
            <w:r w:rsidRPr="004D7F9E">
              <w:t>Kalamanovitz</w:t>
            </w:r>
            <w:proofErr w:type="spellEnd"/>
            <w:r w:rsidRPr="004D7F9E">
              <w:t xml:space="preserve"> School of Education, St. Mary’s College. (Prior to receiving his doctorate, Dr. Monroe participated in FDIP and taught at BCC.)</w:t>
            </w:r>
          </w:p>
          <w:p w14:paraId="2C6BD610" w14:textId="428D0621" w:rsidR="004D7F9E" w:rsidRPr="004D7F9E" w:rsidRDefault="004D7F9E" w:rsidP="006F23C4">
            <w:pPr>
              <w:spacing w:after="160" w:line="259" w:lineRule="auto"/>
              <w:rPr>
                <w:color w:val="000000" w:themeColor="text1"/>
              </w:rPr>
            </w:pPr>
            <w:r>
              <w:rPr>
                <w:color w:val="000000" w:themeColor="text1"/>
              </w:rPr>
              <w:lastRenderedPageBreak/>
              <w:t xml:space="preserve">sharing expertise in Ethnic Studies in support of K-12 level curriculum revisions with Art in Action, a Bay Area-based arts education program. </w:t>
            </w:r>
          </w:p>
          <w:p w14:paraId="736A9FE1" w14:textId="3C0CE46A" w:rsidR="004D7F9E" w:rsidRPr="00A65F5E" w:rsidRDefault="00393468" w:rsidP="006F23C4">
            <w:pPr>
              <w:spacing w:after="160" w:line="259" w:lineRule="auto"/>
              <w:rPr>
                <w:color w:val="000000" w:themeColor="text1"/>
              </w:rPr>
            </w:pPr>
            <w:r>
              <w:rPr>
                <w:color w:val="000000" w:themeColor="text1"/>
              </w:rPr>
              <w:t>And presenting</w:t>
            </w:r>
            <w:r w:rsidR="004D7F9E" w:rsidRPr="004D7F9E">
              <w:rPr>
                <w:color w:val="000000" w:themeColor="text1"/>
              </w:rPr>
              <w:t xml:space="preserve"> annually</w:t>
            </w:r>
            <w:r w:rsidR="004D7F9E">
              <w:rPr>
                <w:color w:val="000000" w:themeColor="text1"/>
              </w:rPr>
              <w:t xml:space="preserve"> at the National Association for Chicana and Chicano Studies</w:t>
            </w:r>
            <w:r>
              <w:rPr>
                <w:color w:val="000000" w:themeColor="text1"/>
              </w:rPr>
              <w:t xml:space="preserve"> academic conference, as well as other academic and community-based forums. </w:t>
            </w:r>
          </w:p>
        </w:tc>
      </w:tr>
      <w:tr w:rsidR="006F23C4" w:rsidRPr="00541A4C" w14:paraId="19CC9E2E" w14:textId="77777777" w:rsidTr="5FAD3FD5">
        <w:tc>
          <w:tcPr>
            <w:tcW w:w="9926" w:type="dxa"/>
          </w:tcPr>
          <w:p w14:paraId="61EE9B67" w14:textId="3079A3C2" w:rsidR="006F23C4" w:rsidRPr="00541A4C" w:rsidRDefault="006F23C4" w:rsidP="006F23C4">
            <w:pPr>
              <w:spacing w:after="160" w:line="259" w:lineRule="auto"/>
              <w:rPr>
                <w:color w:val="FF0000"/>
              </w:rPr>
            </w:pPr>
            <w:r w:rsidRPr="00541A4C">
              <w:rPr>
                <w:b/>
                <w:bCs/>
              </w:rPr>
              <w:lastRenderedPageBreak/>
              <w:t>Discuss how adjunct faculty members are included in departmental training, discussions, and decision-making.</w:t>
            </w:r>
          </w:p>
        </w:tc>
      </w:tr>
      <w:tr w:rsidR="006F23C4" w:rsidRPr="00541A4C" w14:paraId="0ED9800F" w14:textId="77777777" w:rsidTr="5FAD3FD5">
        <w:tc>
          <w:tcPr>
            <w:tcW w:w="9926" w:type="dxa"/>
            <w:shd w:val="clear" w:color="auto" w:fill="FFF2CC" w:themeFill="accent4" w:themeFillTint="33"/>
          </w:tcPr>
          <w:p w14:paraId="59DD036E" w14:textId="5563172E" w:rsidR="006F23C4" w:rsidRPr="00393468" w:rsidRDefault="00393468" w:rsidP="006F23C4">
            <w:pPr>
              <w:spacing w:after="160" w:line="259" w:lineRule="auto"/>
              <w:rPr>
                <w:color w:val="000000" w:themeColor="text1"/>
              </w:rPr>
            </w:pPr>
            <w:r>
              <w:rPr>
                <w:color w:val="000000" w:themeColor="text1"/>
              </w:rPr>
              <w:t>Part-time faculty members are invited and encouraged to participate in department and program trainings, discussions, and their feedback is solicited to a reasonable extent possible. Part time faculty are supported as well in their career goals and pedagogical development.</w:t>
            </w:r>
          </w:p>
        </w:tc>
      </w:tr>
      <w:tr w:rsidR="006F23C4" w:rsidRPr="00541A4C" w14:paraId="6681A0BB" w14:textId="77777777" w:rsidTr="5FAD3FD5">
        <w:tc>
          <w:tcPr>
            <w:tcW w:w="9926" w:type="dxa"/>
          </w:tcPr>
          <w:p w14:paraId="491284E8" w14:textId="37DDCEA9" w:rsidR="006F23C4" w:rsidRPr="00541A4C" w:rsidRDefault="726BF826" w:rsidP="006F23C4">
            <w:pPr>
              <w:pStyle w:val="ListParagraph"/>
              <w:numPr>
                <w:ilvl w:val="0"/>
                <w:numId w:val="28"/>
              </w:numPr>
              <w:ind w:left="0"/>
              <w:rPr>
                <w:rFonts w:ascii="Times New Roman" w:hAnsi="Times New Roman" w:cs="Times New Roman"/>
                <w:b/>
                <w:bCs/>
                <w:color w:val="000000" w:themeColor="text1"/>
                <w:sz w:val="24"/>
                <w:szCs w:val="24"/>
              </w:rPr>
            </w:pPr>
            <w:r w:rsidRPr="00541A4C">
              <w:rPr>
                <w:rFonts w:ascii="Times New Roman" w:hAnsi="Times New Roman" w:cs="Times New Roman"/>
                <w:b/>
                <w:bCs/>
                <w:color w:val="000000" w:themeColor="text1"/>
                <w:sz w:val="24"/>
                <w:szCs w:val="24"/>
              </w:rPr>
              <w:t>Discuss the relationship and engagement with other support services, programs, departments, or administrative units and how these relationships</w:t>
            </w:r>
            <w:r w:rsidR="7704EA79" w:rsidRPr="00541A4C">
              <w:rPr>
                <w:rFonts w:ascii="Times New Roman" w:hAnsi="Times New Roman" w:cs="Times New Roman"/>
                <w:b/>
                <w:bCs/>
                <w:color w:val="000000" w:themeColor="text1"/>
                <w:sz w:val="24"/>
                <w:szCs w:val="24"/>
              </w:rPr>
              <w:t>/collaboration</w:t>
            </w:r>
            <w:r w:rsidRPr="00541A4C">
              <w:rPr>
                <w:rFonts w:ascii="Times New Roman" w:hAnsi="Times New Roman" w:cs="Times New Roman"/>
                <w:b/>
                <w:bCs/>
                <w:color w:val="000000" w:themeColor="text1"/>
                <w:sz w:val="24"/>
                <w:szCs w:val="24"/>
              </w:rPr>
              <w:t xml:space="preserve"> support meet</w:t>
            </w:r>
            <w:r w:rsidR="5737A18B" w:rsidRPr="00541A4C">
              <w:rPr>
                <w:rFonts w:ascii="Times New Roman" w:hAnsi="Times New Roman" w:cs="Times New Roman"/>
                <w:b/>
                <w:bCs/>
                <w:color w:val="000000" w:themeColor="text1"/>
                <w:sz w:val="24"/>
                <w:szCs w:val="24"/>
              </w:rPr>
              <w:t>ing yo</w:t>
            </w:r>
            <w:r w:rsidR="003E7EDF" w:rsidRPr="00541A4C">
              <w:rPr>
                <w:rFonts w:ascii="Times New Roman" w:hAnsi="Times New Roman" w:cs="Times New Roman"/>
                <w:b/>
                <w:bCs/>
                <w:color w:val="000000" w:themeColor="text1"/>
                <w:sz w:val="24"/>
                <w:szCs w:val="24"/>
              </w:rPr>
              <w:t>ur</w:t>
            </w:r>
            <w:r w:rsidR="5737A18B" w:rsidRPr="00541A4C">
              <w:rPr>
                <w:rFonts w:ascii="Times New Roman" w:hAnsi="Times New Roman" w:cs="Times New Roman"/>
                <w:b/>
                <w:bCs/>
                <w:color w:val="000000" w:themeColor="text1"/>
                <w:sz w:val="24"/>
                <w:szCs w:val="24"/>
              </w:rPr>
              <w:t xml:space="preserve"> departmental</w:t>
            </w:r>
            <w:r w:rsidRPr="00541A4C">
              <w:rPr>
                <w:rFonts w:ascii="Times New Roman" w:hAnsi="Times New Roman" w:cs="Times New Roman"/>
                <w:b/>
                <w:bCs/>
                <w:color w:val="000000" w:themeColor="text1"/>
                <w:sz w:val="24"/>
                <w:szCs w:val="24"/>
              </w:rPr>
              <w:t xml:space="preserve"> goals.  </w:t>
            </w:r>
          </w:p>
        </w:tc>
      </w:tr>
      <w:tr w:rsidR="00EB4E58" w:rsidRPr="00541A4C" w14:paraId="436259A2" w14:textId="77777777" w:rsidTr="00E35ADB">
        <w:tc>
          <w:tcPr>
            <w:tcW w:w="9926" w:type="dxa"/>
            <w:shd w:val="clear" w:color="auto" w:fill="FFF2CC" w:themeFill="accent4" w:themeFillTint="33"/>
          </w:tcPr>
          <w:p w14:paraId="38663093" w14:textId="0AED0621" w:rsidR="00EB4E58" w:rsidRPr="00393468" w:rsidRDefault="00393468" w:rsidP="006F23C4">
            <w:pPr>
              <w:pStyle w:val="ListParagraph"/>
              <w:numPr>
                <w:ilvl w:val="0"/>
                <w:numId w:val="28"/>
              </w:numPr>
              <w:ind w:left="0"/>
              <w:rPr>
                <w:rFonts w:ascii="Times New Roman" w:hAnsi="Times New Roman" w:cs="Times New Roman"/>
                <w:bCs/>
                <w:sz w:val="24"/>
                <w:szCs w:val="24"/>
              </w:rPr>
            </w:pPr>
            <w:r w:rsidRPr="00393468">
              <w:rPr>
                <w:rFonts w:ascii="Times New Roman" w:hAnsi="Times New Roman" w:cs="Times New Roman"/>
                <w:bCs/>
                <w:sz w:val="24"/>
                <w:szCs w:val="24"/>
              </w:rPr>
              <w:t xml:space="preserve">ETHST+ </w:t>
            </w:r>
            <w:r>
              <w:rPr>
                <w:rFonts w:ascii="Times New Roman" w:hAnsi="Times New Roman" w:cs="Times New Roman"/>
                <w:bCs/>
                <w:sz w:val="24"/>
                <w:szCs w:val="24"/>
              </w:rPr>
              <w:t>maintains active partnerships with the learning communities, academic counselors, and specific student resource centers.</w:t>
            </w:r>
            <w:r w:rsidR="00873644">
              <w:rPr>
                <w:rFonts w:ascii="Times New Roman" w:hAnsi="Times New Roman" w:cs="Times New Roman"/>
                <w:bCs/>
                <w:sz w:val="24"/>
                <w:szCs w:val="24"/>
              </w:rPr>
              <w:t xml:space="preserve"> These relationships ensure that our communities of interest are aware of our offerings, enroll in our classes, and are supported throughout their educational experiences.</w:t>
            </w:r>
          </w:p>
        </w:tc>
      </w:tr>
      <w:tr w:rsidR="006F23C4" w:rsidRPr="00541A4C" w14:paraId="778B65BE" w14:textId="77777777" w:rsidTr="00E35ADB">
        <w:tc>
          <w:tcPr>
            <w:tcW w:w="9926" w:type="dxa"/>
            <w:shd w:val="clear" w:color="auto" w:fill="auto"/>
          </w:tcPr>
          <w:p w14:paraId="1A34D2E5" w14:textId="69C09146" w:rsidR="006F23C4" w:rsidRPr="00541A4C" w:rsidRDefault="3CEB0F54" w:rsidP="00E35ADB">
            <w:pPr>
              <w:rPr>
                <w:b/>
                <w:bCs/>
                <w:color w:val="FF0000"/>
              </w:rPr>
            </w:pPr>
            <w:r w:rsidRPr="00541A4C">
              <w:rPr>
                <w:b/>
                <w:bCs/>
                <w:color w:val="000000" w:themeColor="text1"/>
              </w:rPr>
              <w:t xml:space="preserve">Are there areas you feel that your department can benefit </w:t>
            </w:r>
            <w:r w:rsidR="6A7B4D75" w:rsidRPr="00541A4C">
              <w:rPr>
                <w:b/>
                <w:bCs/>
                <w:color w:val="000000" w:themeColor="text1"/>
              </w:rPr>
              <w:t>more by increasing collaboration and partnership?</w:t>
            </w:r>
            <w:r w:rsidRPr="00541A4C">
              <w:rPr>
                <w:b/>
                <w:bCs/>
                <w:color w:val="000000" w:themeColor="text1"/>
              </w:rPr>
              <w:t xml:space="preserve"> </w:t>
            </w:r>
            <w:r w:rsidR="00DD3B17" w:rsidRPr="00541A4C">
              <w:rPr>
                <w:b/>
                <w:bCs/>
                <w:color w:val="000000" w:themeColor="text1"/>
              </w:rPr>
              <w:t>How?</w:t>
            </w:r>
          </w:p>
        </w:tc>
      </w:tr>
      <w:tr w:rsidR="00EB4E58" w:rsidRPr="00541A4C" w14:paraId="653CEB1F" w14:textId="77777777" w:rsidTr="5FAD3FD5">
        <w:tc>
          <w:tcPr>
            <w:tcW w:w="9926" w:type="dxa"/>
            <w:shd w:val="clear" w:color="auto" w:fill="FFF2CC" w:themeFill="accent4" w:themeFillTint="33"/>
          </w:tcPr>
          <w:p w14:paraId="7661AFFA" w14:textId="1B801047" w:rsidR="00EB4E58" w:rsidRPr="00480058" w:rsidRDefault="00480058" w:rsidP="00EB4E58">
            <w:pPr>
              <w:rPr>
                <w:bCs/>
              </w:rPr>
            </w:pPr>
            <w:r>
              <w:rPr>
                <w:bCs/>
              </w:rPr>
              <w:t xml:space="preserve">There is always room for improvement and expansion, and the program could certainly continue to benefit through increased, continual collaboration and partnerships. Furthermore, there are student populations who we do not directly recruit, through active partnerships, who nonetheless represent active members of our community. </w:t>
            </w:r>
          </w:p>
          <w:p w14:paraId="777882C0" w14:textId="096803AD" w:rsidR="00EB4E58" w:rsidRPr="00541A4C" w:rsidRDefault="00EB4E58" w:rsidP="00EB4E58">
            <w:pPr>
              <w:rPr>
                <w:b/>
                <w:bCs/>
              </w:rPr>
            </w:pPr>
          </w:p>
        </w:tc>
      </w:tr>
    </w:tbl>
    <w:p w14:paraId="73A641F5" w14:textId="0F6D1ED3" w:rsidR="438570C7" w:rsidRPr="00541A4C" w:rsidRDefault="438570C7" w:rsidP="438570C7">
      <w:pPr>
        <w:pStyle w:val="NoSpacing"/>
        <w:rPr>
          <w:rFonts w:ascii="Times New Roman" w:hAnsi="Times New Roman" w:cs="Times New Roman"/>
          <w:color w:val="FF0000"/>
          <w:sz w:val="24"/>
          <w:szCs w:val="24"/>
        </w:rPr>
      </w:pPr>
    </w:p>
    <w:p w14:paraId="3560A1DF" w14:textId="77777777" w:rsidR="009C2B01" w:rsidRPr="00541A4C" w:rsidRDefault="009C2B01" w:rsidP="00FD28F4">
      <w:pPr>
        <w:pStyle w:val="NoSpacing"/>
        <w:rPr>
          <w:rFonts w:ascii="Times New Roman" w:hAnsi="Times New Roman" w:cs="Times New Roman"/>
          <w:color w:val="FF0000"/>
          <w:sz w:val="24"/>
          <w:szCs w:val="24"/>
        </w:rPr>
      </w:pPr>
    </w:p>
    <w:p w14:paraId="6246F82D" w14:textId="6FEF7B85" w:rsidR="00FA4B17" w:rsidRPr="00541A4C" w:rsidRDefault="00FA4B17">
      <w:pPr>
        <w:spacing w:after="160" w:line="259" w:lineRule="auto"/>
        <w:rPr>
          <w:rFonts w:eastAsia="Century Gothic"/>
        </w:rPr>
      </w:pPr>
      <w:r w:rsidRPr="00541A4C">
        <w:br w:type="page"/>
      </w:r>
    </w:p>
    <w:tbl>
      <w:tblPr>
        <w:tblStyle w:val="TableGrid"/>
        <w:tblW w:w="0" w:type="auto"/>
        <w:tblInd w:w="-5" w:type="dxa"/>
        <w:tblLook w:val="04A0" w:firstRow="1" w:lastRow="0" w:firstColumn="1" w:lastColumn="0" w:noHBand="0" w:noVBand="1"/>
      </w:tblPr>
      <w:tblGrid>
        <w:gridCol w:w="9931"/>
      </w:tblGrid>
      <w:tr w:rsidR="009662AA" w:rsidRPr="00541A4C" w14:paraId="6384BDAC" w14:textId="77777777" w:rsidTr="004A09B6">
        <w:tc>
          <w:tcPr>
            <w:tcW w:w="9931" w:type="dxa"/>
            <w:shd w:val="clear" w:color="auto" w:fill="009193"/>
          </w:tcPr>
          <w:p w14:paraId="789E147B" w14:textId="534DF020" w:rsidR="009662AA" w:rsidRPr="00541A4C" w:rsidRDefault="00C94A73" w:rsidP="001C0579">
            <w:pPr>
              <w:pStyle w:val="NoSpacing"/>
              <w:rPr>
                <w:rFonts w:ascii="Times New Roman" w:hAnsi="Times New Roman" w:cs="Times New Roman"/>
                <w:sz w:val="24"/>
                <w:szCs w:val="24"/>
              </w:rPr>
            </w:pPr>
            <w:r w:rsidRPr="00541A4C">
              <w:rPr>
                <w:rFonts w:ascii="Times New Roman" w:hAnsi="Times New Roman" w:cs="Times New Roman"/>
                <w:b/>
                <w:bCs/>
                <w:color w:val="FFFFFF" w:themeColor="background1"/>
                <w:sz w:val="24"/>
                <w:szCs w:val="24"/>
              </w:rPr>
              <w:lastRenderedPageBreak/>
              <w:t>8</w:t>
            </w:r>
            <w:r w:rsidR="006B313F" w:rsidRPr="00541A4C">
              <w:rPr>
                <w:rFonts w:ascii="Times New Roman" w:hAnsi="Times New Roman" w:cs="Times New Roman"/>
                <w:b/>
                <w:bCs/>
                <w:color w:val="FFFFFF" w:themeColor="background1"/>
                <w:sz w:val="24"/>
                <w:szCs w:val="24"/>
              </w:rPr>
              <w:t xml:space="preserve">. </w:t>
            </w:r>
            <w:r w:rsidR="009662AA" w:rsidRPr="00541A4C">
              <w:rPr>
                <w:rFonts w:ascii="Times New Roman" w:hAnsi="Times New Roman" w:cs="Times New Roman"/>
                <w:b/>
                <w:bCs/>
                <w:color w:val="FFFFFF" w:themeColor="background1"/>
                <w:sz w:val="24"/>
                <w:szCs w:val="24"/>
              </w:rPr>
              <w:t>Prioritized Resource Requests</w:t>
            </w:r>
          </w:p>
        </w:tc>
      </w:tr>
      <w:tr w:rsidR="009662AA" w:rsidRPr="00541A4C" w14:paraId="5F12083B" w14:textId="77777777" w:rsidTr="004A09B6">
        <w:tc>
          <w:tcPr>
            <w:tcW w:w="9931" w:type="dxa"/>
            <w:shd w:val="clear" w:color="auto" w:fill="FFF2CC" w:themeFill="accent4" w:themeFillTint="33"/>
          </w:tcPr>
          <w:p w14:paraId="766D6D96" w14:textId="37CA4740" w:rsidR="00622BBB" w:rsidRPr="00541A4C" w:rsidRDefault="007B3A65" w:rsidP="00E35ADB">
            <w:pPr>
              <w:pStyle w:val="NoSpacing"/>
              <w:rPr>
                <w:rFonts w:ascii="Times New Roman" w:hAnsi="Times New Roman" w:cs="Times New Roman"/>
                <w:sz w:val="24"/>
                <w:szCs w:val="24"/>
              </w:rPr>
            </w:pPr>
            <w:r w:rsidRPr="00541A4C">
              <w:rPr>
                <w:rFonts w:ascii="Times New Roman" w:hAnsi="Times New Roman" w:cs="Times New Roman"/>
                <w:b/>
                <w:bCs/>
                <w:color w:val="000000" w:themeColor="text1"/>
                <w:sz w:val="24"/>
                <w:szCs w:val="24"/>
              </w:rPr>
              <w:t>During the 2021-22 Comprehensive Program Review process, you have provided your resource requests which went through the IPAR process. </w:t>
            </w:r>
            <w:r w:rsidRPr="00541A4C">
              <w:rPr>
                <w:rStyle w:val="apple-converted-space"/>
                <w:rFonts w:ascii="Times New Roman" w:hAnsi="Times New Roman" w:cs="Times New Roman"/>
                <w:b/>
                <w:bCs/>
                <w:color w:val="000000" w:themeColor="text1"/>
                <w:sz w:val="24"/>
                <w:szCs w:val="24"/>
              </w:rPr>
              <w:t> </w:t>
            </w:r>
            <w:r w:rsidRPr="00541A4C">
              <w:rPr>
                <w:rFonts w:ascii="Times New Roman" w:hAnsi="Times New Roman" w:cs="Times New Roman"/>
                <w:b/>
                <w:bCs/>
                <w:color w:val="000000" w:themeColor="text1"/>
                <w:sz w:val="24"/>
                <w:szCs w:val="24"/>
              </w:rPr>
              <w:t>In this section, include resource requests from last year that are still needed and/or new resources that have emerged</w:t>
            </w:r>
            <w:r w:rsidR="00356A6D" w:rsidRPr="00541A4C">
              <w:rPr>
                <w:rFonts w:ascii="Times New Roman" w:hAnsi="Times New Roman" w:cs="Times New Roman"/>
                <w:b/>
                <w:bCs/>
                <w:color w:val="000000" w:themeColor="text1"/>
                <w:sz w:val="24"/>
                <w:szCs w:val="24"/>
              </w:rPr>
              <w:t>.</w:t>
            </w:r>
            <w:r w:rsidRPr="00541A4C">
              <w:rPr>
                <w:rFonts w:ascii="Times New Roman" w:hAnsi="Times New Roman" w:cs="Times New Roman"/>
                <w:b/>
                <w:bCs/>
                <w:color w:val="000000" w:themeColor="text1"/>
                <w:sz w:val="24"/>
                <w:szCs w:val="24"/>
              </w:rPr>
              <w:t>  Provide justifications. If there are no resource requested, leave the boxes blank.</w:t>
            </w:r>
          </w:p>
        </w:tc>
      </w:tr>
    </w:tbl>
    <w:p w14:paraId="401577A1" w14:textId="77777777" w:rsidR="00680152" w:rsidRPr="00541A4C" w:rsidRDefault="00680152" w:rsidP="008014DE">
      <w:pPr>
        <w:pStyle w:val="BodyText"/>
        <w:rPr>
          <w:rFonts w:ascii="Times New Roman" w:hAnsi="Times New Roman" w:cs="Times New Roman"/>
          <w:sz w:val="24"/>
          <w:szCs w:val="24"/>
        </w:rPr>
      </w:pPr>
    </w:p>
    <w:tbl>
      <w:tblPr>
        <w:tblStyle w:val="TableGrid1"/>
        <w:tblW w:w="9900" w:type="dxa"/>
        <w:jc w:val="center"/>
        <w:tblLayout w:type="fixed"/>
        <w:tblLook w:val="04A0" w:firstRow="1" w:lastRow="0" w:firstColumn="1" w:lastColumn="0" w:noHBand="0" w:noVBand="1"/>
      </w:tblPr>
      <w:tblGrid>
        <w:gridCol w:w="2795"/>
        <w:gridCol w:w="5300"/>
        <w:gridCol w:w="1805"/>
      </w:tblGrid>
      <w:tr w:rsidR="00B50496" w:rsidRPr="00541A4C" w14:paraId="0E472B24" w14:textId="70C9A4C0" w:rsidTr="00593877">
        <w:trPr>
          <w:trHeight w:val="314"/>
          <w:jc w:val="center"/>
        </w:trPr>
        <w:tc>
          <w:tcPr>
            <w:tcW w:w="2795" w:type="dxa"/>
            <w:shd w:val="clear" w:color="auto" w:fill="009193"/>
            <w:vAlign w:val="bottom"/>
          </w:tcPr>
          <w:p w14:paraId="77B257A1" w14:textId="77777777" w:rsidR="00B50496" w:rsidRPr="00541A4C" w:rsidRDefault="00B50496" w:rsidP="00CD46CB">
            <w:pPr>
              <w:rPr>
                <w:b/>
                <w:bCs/>
                <w:color w:val="FFFFFF" w:themeColor="background1"/>
              </w:rPr>
            </w:pPr>
            <w:r w:rsidRPr="00541A4C">
              <w:rPr>
                <w:b/>
                <w:bCs/>
                <w:color w:val="FFFFFF" w:themeColor="background1"/>
              </w:rPr>
              <w:t>Resource Category</w:t>
            </w:r>
          </w:p>
        </w:tc>
        <w:tc>
          <w:tcPr>
            <w:tcW w:w="5300" w:type="dxa"/>
            <w:shd w:val="clear" w:color="auto" w:fill="009193"/>
            <w:vAlign w:val="bottom"/>
          </w:tcPr>
          <w:p w14:paraId="39B4C9DE" w14:textId="68CE6787" w:rsidR="00B50496" w:rsidRPr="00541A4C" w:rsidRDefault="00B50496" w:rsidP="003A00D6">
            <w:pPr>
              <w:rPr>
                <w:b/>
                <w:bCs/>
                <w:color w:val="FFFFFF" w:themeColor="background1"/>
              </w:rPr>
            </w:pPr>
            <w:r w:rsidRPr="00541A4C">
              <w:rPr>
                <w:b/>
                <w:bCs/>
                <w:color w:val="FFFFFF" w:themeColor="background1"/>
              </w:rPr>
              <w:t>Description/Justification</w:t>
            </w:r>
          </w:p>
        </w:tc>
        <w:tc>
          <w:tcPr>
            <w:tcW w:w="1805" w:type="dxa"/>
            <w:shd w:val="clear" w:color="auto" w:fill="009193"/>
            <w:vAlign w:val="bottom"/>
          </w:tcPr>
          <w:p w14:paraId="67B10CDB" w14:textId="0FC13828" w:rsidR="00B50496" w:rsidRPr="00541A4C" w:rsidRDefault="00B50496" w:rsidP="00593877">
            <w:pPr>
              <w:jc w:val="center"/>
              <w:rPr>
                <w:b/>
                <w:bCs/>
                <w:color w:val="FFFFFF" w:themeColor="background1"/>
              </w:rPr>
            </w:pPr>
            <w:r w:rsidRPr="00541A4C">
              <w:rPr>
                <w:b/>
                <w:bCs/>
                <w:color w:val="FFFFFF" w:themeColor="background1"/>
              </w:rPr>
              <w:t>Estimated</w:t>
            </w:r>
            <w:r w:rsidR="00593877" w:rsidRPr="00541A4C">
              <w:rPr>
                <w:b/>
                <w:bCs/>
                <w:color w:val="FFFFFF" w:themeColor="background1"/>
              </w:rPr>
              <w:t xml:space="preserve"> </w:t>
            </w:r>
            <w:r w:rsidRPr="00541A4C">
              <w:rPr>
                <w:b/>
                <w:bCs/>
                <w:color w:val="FFFFFF" w:themeColor="background1"/>
              </w:rPr>
              <w:t>Cost</w:t>
            </w:r>
          </w:p>
        </w:tc>
      </w:tr>
      <w:tr w:rsidR="00B50496" w:rsidRPr="00541A4C" w14:paraId="2AB414C6" w14:textId="71B49D68" w:rsidTr="00593877">
        <w:trPr>
          <w:trHeight w:val="291"/>
          <w:jc w:val="center"/>
        </w:trPr>
        <w:tc>
          <w:tcPr>
            <w:tcW w:w="2795" w:type="dxa"/>
            <w:shd w:val="clear" w:color="auto" w:fill="93CBB7"/>
          </w:tcPr>
          <w:p w14:paraId="5B4EC809" w14:textId="77777777" w:rsidR="00B50496" w:rsidRPr="00541A4C" w:rsidRDefault="00B50496" w:rsidP="007158B5">
            <w:pPr>
              <w:rPr>
                <w:b/>
                <w:bCs/>
                <w:color w:val="000000" w:themeColor="text1"/>
              </w:rPr>
            </w:pPr>
            <w:r w:rsidRPr="00541A4C">
              <w:rPr>
                <w:b/>
                <w:bCs/>
                <w:color w:val="000000" w:themeColor="text1"/>
              </w:rPr>
              <w:t>Personnel</w:t>
            </w:r>
          </w:p>
        </w:tc>
        <w:tc>
          <w:tcPr>
            <w:tcW w:w="5300" w:type="dxa"/>
            <w:shd w:val="clear" w:color="auto" w:fill="93CBB7"/>
          </w:tcPr>
          <w:p w14:paraId="65BCAE0E" w14:textId="77777777" w:rsidR="00B50496" w:rsidRPr="00541A4C" w:rsidRDefault="00B50496" w:rsidP="007158B5">
            <w:pPr>
              <w:rPr>
                <w:color w:val="000000" w:themeColor="text1"/>
              </w:rPr>
            </w:pPr>
          </w:p>
        </w:tc>
        <w:tc>
          <w:tcPr>
            <w:tcW w:w="1805" w:type="dxa"/>
            <w:shd w:val="clear" w:color="auto" w:fill="93CBB7"/>
          </w:tcPr>
          <w:p w14:paraId="126E40AE" w14:textId="77777777" w:rsidR="00B50496" w:rsidRPr="00541A4C" w:rsidRDefault="00B50496" w:rsidP="007158B5">
            <w:pPr>
              <w:rPr>
                <w:color w:val="000000" w:themeColor="text1"/>
              </w:rPr>
            </w:pPr>
          </w:p>
        </w:tc>
      </w:tr>
      <w:tr w:rsidR="00B50496" w:rsidRPr="00541A4C" w14:paraId="3983DA69" w14:textId="72FE02B8" w:rsidTr="00593877">
        <w:trPr>
          <w:trHeight w:val="291"/>
          <w:jc w:val="center"/>
        </w:trPr>
        <w:tc>
          <w:tcPr>
            <w:tcW w:w="2795" w:type="dxa"/>
            <w:shd w:val="clear" w:color="auto" w:fill="auto"/>
          </w:tcPr>
          <w:p w14:paraId="598DC74B" w14:textId="77777777" w:rsidR="00B50496" w:rsidRPr="00541A4C" w:rsidRDefault="00B50496" w:rsidP="007158B5">
            <w:r w:rsidRPr="00541A4C">
              <w:t>Classified Staff</w:t>
            </w:r>
          </w:p>
        </w:tc>
        <w:tc>
          <w:tcPr>
            <w:tcW w:w="5300" w:type="dxa"/>
            <w:shd w:val="clear" w:color="auto" w:fill="FFF2CC" w:themeFill="accent4" w:themeFillTint="33"/>
          </w:tcPr>
          <w:p w14:paraId="781CBDC1" w14:textId="6BB5CF4D" w:rsidR="00B50496" w:rsidRPr="00541A4C" w:rsidRDefault="00B50496" w:rsidP="007158B5"/>
        </w:tc>
        <w:tc>
          <w:tcPr>
            <w:tcW w:w="1805" w:type="dxa"/>
            <w:shd w:val="clear" w:color="auto" w:fill="FFF2CC" w:themeFill="accent4" w:themeFillTint="33"/>
          </w:tcPr>
          <w:p w14:paraId="01A8885C" w14:textId="20A09BD4" w:rsidR="00B50496" w:rsidRPr="00541A4C" w:rsidRDefault="00B50496" w:rsidP="007158B5"/>
        </w:tc>
      </w:tr>
      <w:tr w:rsidR="00B50496" w:rsidRPr="00541A4C" w14:paraId="4DF4E48A" w14:textId="4B17D33F" w:rsidTr="00593877">
        <w:trPr>
          <w:trHeight w:val="291"/>
          <w:jc w:val="center"/>
        </w:trPr>
        <w:tc>
          <w:tcPr>
            <w:tcW w:w="2795" w:type="dxa"/>
            <w:shd w:val="clear" w:color="auto" w:fill="auto"/>
          </w:tcPr>
          <w:p w14:paraId="125EAF56" w14:textId="77777777" w:rsidR="00B50496" w:rsidRPr="00541A4C" w:rsidRDefault="00B50496" w:rsidP="007158B5">
            <w:r w:rsidRPr="00541A4C">
              <w:t>Student Worker</w:t>
            </w:r>
          </w:p>
        </w:tc>
        <w:tc>
          <w:tcPr>
            <w:tcW w:w="5300" w:type="dxa"/>
            <w:shd w:val="clear" w:color="auto" w:fill="FFF2CC" w:themeFill="accent4" w:themeFillTint="33"/>
          </w:tcPr>
          <w:p w14:paraId="0DFA3A16" w14:textId="38DE9EC1" w:rsidR="00B50496" w:rsidRPr="00541A4C" w:rsidRDefault="00B50496" w:rsidP="007158B5"/>
        </w:tc>
        <w:tc>
          <w:tcPr>
            <w:tcW w:w="1805" w:type="dxa"/>
            <w:shd w:val="clear" w:color="auto" w:fill="FFF2CC" w:themeFill="accent4" w:themeFillTint="33"/>
          </w:tcPr>
          <w:p w14:paraId="53931E0E" w14:textId="31A84D0C" w:rsidR="00B50496" w:rsidRPr="00541A4C" w:rsidRDefault="00B50496" w:rsidP="007158B5"/>
        </w:tc>
      </w:tr>
      <w:tr w:rsidR="00B50496" w:rsidRPr="00541A4C" w14:paraId="4DAE1F55" w14:textId="38C7F49E" w:rsidTr="00593877">
        <w:trPr>
          <w:trHeight w:val="291"/>
          <w:jc w:val="center"/>
        </w:trPr>
        <w:tc>
          <w:tcPr>
            <w:tcW w:w="2795" w:type="dxa"/>
            <w:shd w:val="clear" w:color="auto" w:fill="auto"/>
          </w:tcPr>
          <w:p w14:paraId="46F059B9" w14:textId="77777777" w:rsidR="00B50496" w:rsidRPr="00541A4C" w:rsidRDefault="00B50496" w:rsidP="007158B5">
            <w:r w:rsidRPr="00541A4C">
              <w:t>Part Time Faculty</w:t>
            </w:r>
          </w:p>
        </w:tc>
        <w:tc>
          <w:tcPr>
            <w:tcW w:w="5300" w:type="dxa"/>
            <w:shd w:val="clear" w:color="auto" w:fill="FFF2CC" w:themeFill="accent4" w:themeFillTint="33"/>
          </w:tcPr>
          <w:p w14:paraId="18032962" w14:textId="195693C2" w:rsidR="00B50496" w:rsidRPr="00541A4C" w:rsidRDefault="00655F16" w:rsidP="007158B5">
            <w:r w:rsidRPr="00541A4C">
              <w:rPr>
                <w:color w:val="4472C4"/>
                <w:shd w:val="clear" w:color="auto" w:fill="FFFFFF"/>
              </w:rPr>
              <w:t>Accessible Materials Officer – Assisting in creation/conversion of accessible materials for distance ed.</w:t>
            </w:r>
          </w:p>
        </w:tc>
        <w:tc>
          <w:tcPr>
            <w:tcW w:w="1805" w:type="dxa"/>
            <w:shd w:val="clear" w:color="auto" w:fill="FFF2CC" w:themeFill="accent4" w:themeFillTint="33"/>
          </w:tcPr>
          <w:p w14:paraId="4C5756EA" w14:textId="104B3E78" w:rsidR="00B50496" w:rsidRPr="00541A4C" w:rsidRDefault="00B50496" w:rsidP="007158B5"/>
        </w:tc>
      </w:tr>
      <w:tr w:rsidR="00593877" w:rsidRPr="00541A4C" w14:paraId="2DBF7513" w14:textId="3A406F97" w:rsidTr="00666C88">
        <w:trPr>
          <w:trHeight w:val="291"/>
          <w:jc w:val="center"/>
        </w:trPr>
        <w:tc>
          <w:tcPr>
            <w:tcW w:w="9900" w:type="dxa"/>
            <w:gridSpan w:val="3"/>
            <w:shd w:val="clear" w:color="auto" w:fill="93CBB7"/>
          </w:tcPr>
          <w:p w14:paraId="0F182E93" w14:textId="62EF2F80" w:rsidR="00593877" w:rsidRPr="00541A4C" w:rsidRDefault="00593877" w:rsidP="00241D3A">
            <w:pPr>
              <w:rPr>
                <w:color w:val="000000" w:themeColor="text1"/>
              </w:rPr>
            </w:pPr>
            <w:r w:rsidRPr="00541A4C">
              <w:rPr>
                <w:b/>
                <w:bCs/>
                <w:color w:val="000000" w:themeColor="text1"/>
              </w:rPr>
              <w:t>Professional Development</w:t>
            </w:r>
          </w:p>
        </w:tc>
      </w:tr>
      <w:tr w:rsidR="00B50496" w:rsidRPr="00541A4C" w14:paraId="17D91A0E" w14:textId="58A5CEDF" w:rsidTr="00593877">
        <w:trPr>
          <w:trHeight w:val="291"/>
          <w:jc w:val="center"/>
        </w:trPr>
        <w:tc>
          <w:tcPr>
            <w:tcW w:w="2795" w:type="dxa"/>
            <w:shd w:val="clear" w:color="auto" w:fill="auto"/>
          </w:tcPr>
          <w:p w14:paraId="24FB322B" w14:textId="77777777" w:rsidR="00B50496" w:rsidRPr="00541A4C" w:rsidRDefault="00B50496" w:rsidP="00D13C0F">
            <w:r w:rsidRPr="00541A4C">
              <w:t>Department wide PD needed</w:t>
            </w:r>
          </w:p>
        </w:tc>
        <w:tc>
          <w:tcPr>
            <w:tcW w:w="5300" w:type="dxa"/>
            <w:shd w:val="clear" w:color="auto" w:fill="FFF2CC" w:themeFill="accent4" w:themeFillTint="33"/>
          </w:tcPr>
          <w:p w14:paraId="53C07469" w14:textId="0D2170DB" w:rsidR="00B50496" w:rsidRPr="00541A4C" w:rsidRDefault="00B50496" w:rsidP="009560EE"/>
        </w:tc>
        <w:tc>
          <w:tcPr>
            <w:tcW w:w="1805" w:type="dxa"/>
            <w:shd w:val="clear" w:color="auto" w:fill="FFF2CC" w:themeFill="accent4" w:themeFillTint="33"/>
          </w:tcPr>
          <w:p w14:paraId="193EC35A" w14:textId="60B9A423" w:rsidR="00B50496" w:rsidRPr="00541A4C" w:rsidRDefault="00B50496" w:rsidP="00FE5757"/>
        </w:tc>
      </w:tr>
      <w:tr w:rsidR="00B50496" w:rsidRPr="00541A4C" w14:paraId="11642F0E" w14:textId="11724B2D" w:rsidTr="00593877">
        <w:trPr>
          <w:trHeight w:val="291"/>
          <w:jc w:val="center"/>
        </w:trPr>
        <w:tc>
          <w:tcPr>
            <w:tcW w:w="2795" w:type="dxa"/>
            <w:shd w:val="clear" w:color="auto" w:fill="auto"/>
          </w:tcPr>
          <w:p w14:paraId="7EC95410" w14:textId="77777777" w:rsidR="00B50496" w:rsidRPr="00541A4C" w:rsidRDefault="00B50496" w:rsidP="00FE5757">
            <w:r w:rsidRPr="00541A4C">
              <w:t>Personal/Individual PD needed</w:t>
            </w:r>
          </w:p>
        </w:tc>
        <w:tc>
          <w:tcPr>
            <w:tcW w:w="5300" w:type="dxa"/>
            <w:shd w:val="clear" w:color="auto" w:fill="FFF2CC" w:themeFill="accent4" w:themeFillTint="33"/>
          </w:tcPr>
          <w:p w14:paraId="1367B2A2" w14:textId="0CA48EE8" w:rsidR="00B50496" w:rsidRPr="00541A4C" w:rsidRDefault="00B50496" w:rsidP="00D13C0F"/>
        </w:tc>
        <w:tc>
          <w:tcPr>
            <w:tcW w:w="1805" w:type="dxa"/>
            <w:shd w:val="clear" w:color="auto" w:fill="FFF2CC" w:themeFill="accent4" w:themeFillTint="33"/>
          </w:tcPr>
          <w:p w14:paraId="0C3CBE7B" w14:textId="4CDAC907" w:rsidR="00B50496" w:rsidRPr="00541A4C" w:rsidRDefault="00B50496" w:rsidP="00FE5757"/>
        </w:tc>
      </w:tr>
      <w:tr w:rsidR="00593877" w:rsidRPr="00541A4C" w14:paraId="72AEFD1E" w14:textId="5F184990" w:rsidTr="00666C88">
        <w:trPr>
          <w:trHeight w:val="291"/>
          <w:jc w:val="center"/>
        </w:trPr>
        <w:tc>
          <w:tcPr>
            <w:tcW w:w="9900" w:type="dxa"/>
            <w:gridSpan w:val="3"/>
            <w:shd w:val="clear" w:color="auto" w:fill="93CBB7"/>
          </w:tcPr>
          <w:p w14:paraId="21B9DF0F" w14:textId="12C5FBC9" w:rsidR="00593877" w:rsidRPr="00541A4C" w:rsidRDefault="00593877" w:rsidP="00FE5757">
            <w:pPr>
              <w:rPr>
                <w:color w:val="000000" w:themeColor="text1"/>
              </w:rPr>
            </w:pPr>
            <w:r w:rsidRPr="00541A4C">
              <w:rPr>
                <w:b/>
                <w:bCs/>
                <w:color w:val="000000" w:themeColor="text1"/>
              </w:rPr>
              <w:t>Supplies</w:t>
            </w:r>
          </w:p>
        </w:tc>
      </w:tr>
      <w:tr w:rsidR="00B50496" w:rsidRPr="00541A4C" w14:paraId="6B1B0764" w14:textId="2257AB69" w:rsidTr="00593877">
        <w:trPr>
          <w:trHeight w:val="291"/>
          <w:jc w:val="center"/>
        </w:trPr>
        <w:tc>
          <w:tcPr>
            <w:tcW w:w="2795" w:type="dxa"/>
            <w:shd w:val="clear" w:color="auto" w:fill="auto"/>
          </w:tcPr>
          <w:p w14:paraId="3E314A5B" w14:textId="3783E25F" w:rsidR="00B50496" w:rsidRPr="00541A4C" w:rsidRDefault="00B50496" w:rsidP="00FE5757">
            <w:pPr>
              <w:rPr>
                <w:color w:val="000000" w:themeColor="text1"/>
              </w:rPr>
            </w:pPr>
            <w:r w:rsidRPr="00541A4C">
              <w:rPr>
                <w:color w:val="000000" w:themeColor="text1"/>
              </w:rPr>
              <w:t>Software (for whom or role?)</w:t>
            </w:r>
          </w:p>
        </w:tc>
        <w:tc>
          <w:tcPr>
            <w:tcW w:w="5300" w:type="dxa"/>
            <w:shd w:val="clear" w:color="auto" w:fill="FFF2CC" w:themeFill="accent4" w:themeFillTint="33"/>
          </w:tcPr>
          <w:p w14:paraId="03FE529D" w14:textId="100E83EA" w:rsidR="00B50496" w:rsidRPr="00541A4C" w:rsidRDefault="00B50496" w:rsidP="009560EE"/>
        </w:tc>
        <w:tc>
          <w:tcPr>
            <w:tcW w:w="1805" w:type="dxa"/>
            <w:shd w:val="clear" w:color="auto" w:fill="FFF2CC" w:themeFill="accent4" w:themeFillTint="33"/>
          </w:tcPr>
          <w:p w14:paraId="4EB4046F" w14:textId="1BFEE94A" w:rsidR="00B50496" w:rsidRPr="00541A4C" w:rsidRDefault="00B50496" w:rsidP="00FE5757"/>
        </w:tc>
      </w:tr>
      <w:tr w:rsidR="00B50496" w:rsidRPr="00541A4C" w14:paraId="78F8135F" w14:textId="74C49BE0" w:rsidTr="00593877">
        <w:trPr>
          <w:trHeight w:val="291"/>
          <w:jc w:val="center"/>
        </w:trPr>
        <w:tc>
          <w:tcPr>
            <w:tcW w:w="2795" w:type="dxa"/>
            <w:shd w:val="clear" w:color="auto" w:fill="auto"/>
          </w:tcPr>
          <w:p w14:paraId="06F764D8" w14:textId="77777777" w:rsidR="00B50496" w:rsidRPr="00541A4C" w:rsidRDefault="00B50496" w:rsidP="00FE5757">
            <w:r w:rsidRPr="00541A4C">
              <w:t>Books, Magazines, and/or Periodicals</w:t>
            </w:r>
          </w:p>
        </w:tc>
        <w:tc>
          <w:tcPr>
            <w:tcW w:w="5300" w:type="dxa"/>
            <w:shd w:val="clear" w:color="auto" w:fill="FFF2CC" w:themeFill="accent4" w:themeFillTint="33"/>
          </w:tcPr>
          <w:p w14:paraId="5BE459F4" w14:textId="23F946CA" w:rsidR="00B50496" w:rsidRPr="00541A4C" w:rsidRDefault="00B50496" w:rsidP="009560EE"/>
        </w:tc>
        <w:tc>
          <w:tcPr>
            <w:tcW w:w="1805" w:type="dxa"/>
            <w:shd w:val="clear" w:color="auto" w:fill="FFF2CC" w:themeFill="accent4" w:themeFillTint="33"/>
          </w:tcPr>
          <w:p w14:paraId="625BDB47" w14:textId="1D488BD5" w:rsidR="00B50496" w:rsidRPr="00541A4C" w:rsidRDefault="00B50496" w:rsidP="00FE5757"/>
        </w:tc>
      </w:tr>
      <w:tr w:rsidR="00B50496" w:rsidRPr="00541A4C" w14:paraId="19B7842B" w14:textId="5D18AE41" w:rsidTr="00593877">
        <w:trPr>
          <w:trHeight w:val="291"/>
          <w:jc w:val="center"/>
        </w:trPr>
        <w:tc>
          <w:tcPr>
            <w:tcW w:w="2795" w:type="dxa"/>
            <w:shd w:val="clear" w:color="auto" w:fill="auto"/>
          </w:tcPr>
          <w:p w14:paraId="600C28E2" w14:textId="77777777" w:rsidR="00B50496" w:rsidRPr="00541A4C" w:rsidRDefault="00B50496" w:rsidP="00517630">
            <w:r w:rsidRPr="00541A4C">
              <w:t>Instructional Supplies</w:t>
            </w:r>
          </w:p>
        </w:tc>
        <w:tc>
          <w:tcPr>
            <w:tcW w:w="5300" w:type="dxa"/>
            <w:shd w:val="clear" w:color="auto" w:fill="FFF2CC" w:themeFill="accent4" w:themeFillTint="33"/>
          </w:tcPr>
          <w:p w14:paraId="4D894C3A" w14:textId="72B5964E" w:rsidR="00B50496" w:rsidRPr="00541A4C" w:rsidRDefault="00B50496" w:rsidP="009560EE"/>
        </w:tc>
        <w:tc>
          <w:tcPr>
            <w:tcW w:w="1805" w:type="dxa"/>
            <w:shd w:val="clear" w:color="auto" w:fill="FFF2CC" w:themeFill="accent4" w:themeFillTint="33"/>
          </w:tcPr>
          <w:p w14:paraId="273E3D04" w14:textId="03293CF4" w:rsidR="00B50496" w:rsidRPr="00541A4C" w:rsidRDefault="00B50496" w:rsidP="00FE5757"/>
        </w:tc>
      </w:tr>
      <w:tr w:rsidR="00B50496" w:rsidRPr="00541A4C" w14:paraId="5FAE3043" w14:textId="71F7F143" w:rsidTr="00593877">
        <w:trPr>
          <w:trHeight w:val="291"/>
          <w:jc w:val="center"/>
        </w:trPr>
        <w:tc>
          <w:tcPr>
            <w:tcW w:w="2795" w:type="dxa"/>
            <w:shd w:val="clear" w:color="auto" w:fill="auto"/>
          </w:tcPr>
          <w:p w14:paraId="30562490" w14:textId="77777777" w:rsidR="00B50496" w:rsidRPr="00541A4C" w:rsidRDefault="00B50496" w:rsidP="00517630">
            <w:r w:rsidRPr="00541A4C">
              <w:t>Non-Instructional Supplies</w:t>
            </w:r>
          </w:p>
        </w:tc>
        <w:tc>
          <w:tcPr>
            <w:tcW w:w="5300" w:type="dxa"/>
            <w:shd w:val="clear" w:color="auto" w:fill="FFF2CC" w:themeFill="accent4" w:themeFillTint="33"/>
          </w:tcPr>
          <w:p w14:paraId="73C571F7" w14:textId="49B3C99A" w:rsidR="00B50496" w:rsidRPr="00541A4C" w:rsidRDefault="00B50496" w:rsidP="009560EE"/>
        </w:tc>
        <w:tc>
          <w:tcPr>
            <w:tcW w:w="1805" w:type="dxa"/>
            <w:shd w:val="clear" w:color="auto" w:fill="FFF2CC" w:themeFill="accent4" w:themeFillTint="33"/>
          </w:tcPr>
          <w:p w14:paraId="78B1FFC5" w14:textId="6014168F" w:rsidR="00B50496" w:rsidRPr="00541A4C" w:rsidRDefault="00B50496" w:rsidP="00FE5757"/>
        </w:tc>
      </w:tr>
      <w:tr w:rsidR="00593877" w:rsidRPr="00541A4C" w14:paraId="63CF1106" w14:textId="11C2D840" w:rsidTr="00666C88">
        <w:trPr>
          <w:trHeight w:val="291"/>
          <w:jc w:val="center"/>
        </w:trPr>
        <w:tc>
          <w:tcPr>
            <w:tcW w:w="9900" w:type="dxa"/>
            <w:gridSpan w:val="3"/>
            <w:shd w:val="clear" w:color="auto" w:fill="93CBB7"/>
            <w:vAlign w:val="bottom"/>
          </w:tcPr>
          <w:p w14:paraId="46929678" w14:textId="77777777" w:rsidR="00593877" w:rsidRPr="00541A4C" w:rsidRDefault="00593877" w:rsidP="0038427D">
            <w:pPr>
              <w:rPr>
                <w:b/>
                <w:bCs/>
                <w:color w:val="000000" w:themeColor="text1"/>
              </w:rPr>
            </w:pPr>
            <w:r w:rsidRPr="00541A4C">
              <w:rPr>
                <w:b/>
                <w:bCs/>
                <w:color w:val="000000" w:themeColor="text1"/>
              </w:rPr>
              <w:t>Technology &amp; Equipment</w:t>
            </w:r>
          </w:p>
          <w:p w14:paraId="2E829D08" w14:textId="00A35DA1" w:rsidR="00593877" w:rsidRPr="00541A4C" w:rsidRDefault="00593877" w:rsidP="0038427D">
            <w:pPr>
              <w:rPr>
                <w:color w:val="000000" w:themeColor="text1"/>
              </w:rPr>
            </w:pPr>
            <w:r w:rsidRPr="00541A4C">
              <w:rPr>
                <w:color w:val="000000" w:themeColor="text1"/>
              </w:rPr>
              <w:t>Description/Justification (</w:t>
            </w:r>
            <w:r w:rsidRPr="00541A4C">
              <w:rPr>
                <w:i/>
                <w:iCs/>
                <w:color w:val="000000" w:themeColor="text1"/>
              </w:rPr>
              <w:t xml:space="preserve">Before you list your technology request, </w:t>
            </w:r>
            <w:hyperlink r:id="rId36" w:history="1">
              <w:r w:rsidRPr="00541A4C">
                <w:rPr>
                  <w:rStyle w:val="Hyperlink"/>
                  <w:i/>
                  <w:iCs/>
                </w:rPr>
                <w:t>click here to view the latest Technology Refresh Plan</w:t>
              </w:r>
            </w:hyperlink>
            <w:r w:rsidRPr="00541A4C">
              <w:rPr>
                <w:i/>
                <w:iCs/>
                <w:color w:val="000000" w:themeColor="text1"/>
              </w:rPr>
              <w:t xml:space="preserve"> to verify whether it has already included.)</w:t>
            </w:r>
          </w:p>
        </w:tc>
      </w:tr>
      <w:tr w:rsidR="00B50496" w:rsidRPr="00541A4C" w14:paraId="4BEFE862" w14:textId="382C4327" w:rsidTr="00593877">
        <w:tblPrEx>
          <w:jc w:val="left"/>
        </w:tblPrEx>
        <w:trPr>
          <w:trHeight w:val="291"/>
        </w:trPr>
        <w:tc>
          <w:tcPr>
            <w:tcW w:w="2795" w:type="dxa"/>
          </w:tcPr>
          <w:p w14:paraId="19CCFA35" w14:textId="4E1983E9" w:rsidR="00B50496" w:rsidRPr="00541A4C" w:rsidRDefault="00B50496" w:rsidP="00FE5757">
            <w:r w:rsidRPr="00541A4C">
              <w:t>New</w:t>
            </w:r>
          </w:p>
        </w:tc>
        <w:tc>
          <w:tcPr>
            <w:tcW w:w="5300" w:type="dxa"/>
            <w:shd w:val="clear" w:color="auto" w:fill="FFF2CC" w:themeFill="accent4" w:themeFillTint="33"/>
          </w:tcPr>
          <w:p w14:paraId="67A793BA" w14:textId="164B8969" w:rsidR="00B50496" w:rsidRPr="00541A4C" w:rsidRDefault="00B50496" w:rsidP="009560EE"/>
        </w:tc>
        <w:tc>
          <w:tcPr>
            <w:tcW w:w="1805" w:type="dxa"/>
            <w:shd w:val="clear" w:color="auto" w:fill="FFF2CC" w:themeFill="accent4" w:themeFillTint="33"/>
          </w:tcPr>
          <w:p w14:paraId="22DB238F" w14:textId="4D993259" w:rsidR="00B50496" w:rsidRPr="00541A4C" w:rsidRDefault="00B50496" w:rsidP="00FE5757"/>
        </w:tc>
      </w:tr>
      <w:tr w:rsidR="00B50496" w:rsidRPr="00541A4C" w14:paraId="1F2B0C49" w14:textId="7AAF7816" w:rsidTr="00593877">
        <w:tblPrEx>
          <w:jc w:val="left"/>
        </w:tblPrEx>
        <w:trPr>
          <w:trHeight w:val="291"/>
        </w:trPr>
        <w:tc>
          <w:tcPr>
            <w:tcW w:w="2795" w:type="dxa"/>
          </w:tcPr>
          <w:p w14:paraId="4DB2E3B9" w14:textId="77777777" w:rsidR="00B50496" w:rsidRPr="00541A4C" w:rsidRDefault="00B50496" w:rsidP="00FE5757">
            <w:r w:rsidRPr="00541A4C">
              <w:t>Replacement</w:t>
            </w:r>
          </w:p>
        </w:tc>
        <w:tc>
          <w:tcPr>
            <w:tcW w:w="5300" w:type="dxa"/>
            <w:shd w:val="clear" w:color="auto" w:fill="FFF2CC" w:themeFill="accent4" w:themeFillTint="33"/>
          </w:tcPr>
          <w:p w14:paraId="62D70E2A" w14:textId="41DB662D" w:rsidR="00B50496" w:rsidRPr="00541A4C" w:rsidRDefault="00B50496" w:rsidP="009560EE"/>
        </w:tc>
        <w:tc>
          <w:tcPr>
            <w:tcW w:w="1805" w:type="dxa"/>
            <w:shd w:val="clear" w:color="auto" w:fill="FFF2CC" w:themeFill="accent4" w:themeFillTint="33"/>
          </w:tcPr>
          <w:p w14:paraId="6F4758EA" w14:textId="092D4C17" w:rsidR="00B50496" w:rsidRPr="00541A4C" w:rsidRDefault="00B50496" w:rsidP="00FE5757"/>
        </w:tc>
      </w:tr>
      <w:tr w:rsidR="00593877" w:rsidRPr="00541A4C" w14:paraId="44AE0BEA" w14:textId="43A7D846" w:rsidTr="00666C88">
        <w:tblPrEx>
          <w:jc w:val="left"/>
        </w:tblPrEx>
        <w:trPr>
          <w:trHeight w:val="291"/>
        </w:trPr>
        <w:tc>
          <w:tcPr>
            <w:tcW w:w="9900" w:type="dxa"/>
            <w:gridSpan w:val="3"/>
            <w:shd w:val="clear" w:color="auto" w:fill="93CBB7"/>
          </w:tcPr>
          <w:p w14:paraId="37F171F8" w14:textId="1ABEAA4A" w:rsidR="00593877" w:rsidRPr="00541A4C" w:rsidRDefault="00593877" w:rsidP="00FE5757">
            <w:pPr>
              <w:rPr>
                <w:color w:val="000000" w:themeColor="text1"/>
              </w:rPr>
            </w:pPr>
            <w:r w:rsidRPr="00541A4C">
              <w:rPr>
                <w:b/>
                <w:bCs/>
                <w:color w:val="000000" w:themeColor="text1"/>
              </w:rPr>
              <w:t>Facilities</w:t>
            </w:r>
          </w:p>
        </w:tc>
      </w:tr>
      <w:tr w:rsidR="00B50496" w:rsidRPr="00541A4C" w14:paraId="7C87ED18" w14:textId="17DF5CB8" w:rsidTr="00593877">
        <w:tblPrEx>
          <w:jc w:val="left"/>
        </w:tblPrEx>
        <w:trPr>
          <w:trHeight w:val="291"/>
        </w:trPr>
        <w:tc>
          <w:tcPr>
            <w:tcW w:w="2795" w:type="dxa"/>
          </w:tcPr>
          <w:p w14:paraId="640BDB29" w14:textId="77777777" w:rsidR="00B50496" w:rsidRPr="00541A4C" w:rsidRDefault="00B50496" w:rsidP="438570C7">
            <w:r w:rsidRPr="00541A4C">
              <w:t>Classrooms</w:t>
            </w:r>
          </w:p>
        </w:tc>
        <w:tc>
          <w:tcPr>
            <w:tcW w:w="5300" w:type="dxa"/>
            <w:shd w:val="clear" w:color="auto" w:fill="FFF2CC" w:themeFill="accent4" w:themeFillTint="33"/>
          </w:tcPr>
          <w:p w14:paraId="35E394DA" w14:textId="71B3E203" w:rsidR="00B50496" w:rsidRPr="00541A4C" w:rsidRDefault="00B50496" w:rsidP="00FE5757"/>
        </w:tc>
        <w:tc>
          <w:tcPr>
            <w:tcW w:w="1805" w:type="dxa"/>
            <w:shd w:val="clear" w:color="auto" w:fill="FFF2CC" w:themeFill="accent4" w:themeFillTint="33"/>
          </w:tcPr>
          <w:p w14:paraId="76D24AAE" w14:textId="77F3FB5A" w:rsidR="00B50496" w:rsidRPr="00541A4C" w:rsidRDefault="00B50496" w:rsidP="00FE5757"/>
        </w:tc>
      </w:tr>
      <w:tr w:rsidR="00B50496" w:rsidRPr="00541A4C" w14:paraId="5FDA582B" w14:textId="3E9A4C3E" w:rsidTr="00593877">
        <w:tblPrEx>
          <w:jc w:val="left"/>
        </w:tblPrEx>
        <w:trPr>
          <w:trHeight w:val="291"/>
        </w:trPr>
        <w:tc>
          <w:tcPr>
            <w:tcW w:w="2795" w:type="dxa"/>
          </w:tcPr>
          <w:p w14:paraId="059FA38A" w14:textId="77777777" w:rsidR="00B50496" w:rsidRPr="00541A4C" w:rsidRDefault="00B50496" w:rsidP="438570C7">
            <w:r w:rsidRPr="00541A4C">
              <w:t>Offices</w:t>
            </w:r>
          </w:p>
        </w:tc>
        <w:tc>
          <w:tcPr>
            <w:tcW w:w="5300" w:type="dxa"/>
            <w:shd w:val="clear" w:color="auto" w:fill="FFF2CC" w:themeFill="accent4" w:themeFillTint="33"/>
          </w:tcPr>
          <w:p w14:paraId="58519550" w14:textId="69440655" w:rsidR="00B50496" w:rsidRPr="00541A4C" w:rsidRDefault="00B50496" w:rsidP="00FE5757">
            <w:pPr>
              <w:rPr>
                <w:strike/>
              </w:rPr>
            </w:pPr>
          </w:p>
        </w:tc>
        <w:tc>
          <w:tcPr>
            <w:tcW w:w="1805" w:type="dxa"/>
            <w:shd w:val="clear" w:color="auto" w:fill="FFF2CC" w:themeFill="accent4" w:themeFillTint="33"/>
          </w:tcPr>
          <w:p w14:paraId="4CD9F009" w14:textId="65FEB0EA" w:rsidR="00B50496" w:rsidRPr="00541A4C" w:rsidRDefault="00B50496" w:rsidP="00FE5757">
            <w:pPr>
              <w:rPr>
                <w:strike/>
              </w:rPr>
            </w:pPr>
          </w:p>
        </w:tc>
      </w:tr>
      <w:tr w:rsidR="00B50496" w:rsidRPr="00541A4C" w14:paraId="0944A8D6" w14:textId="00FEBE9E" w:rsidTr="00593877">
        <w:tblPrEx>
          <w:jc w:val="left"/>
        </w:tblPrEx>
        <w:trPr>
          <w:trHeight w:val="291"/>
        </w:trPr>
        <w:tc>
          <w:tcPr>
            <w:tcW w:w="2795" w:type="dxa"/>
          </w:tcPr>
          <w:p w14:paraId="56754DB9" w14:textId="77777777" w:rsidR="00B50496" w:rsidRPr="00541A4C" w:rsidRDefault="00B50496" w:rsidP="438570C7">
            <w:r w:rsidRPr="00541A4C">
              <w:t>Labs</w:t>
            </w:r>
          </w:p>
        </w:tc>
        <w:tc>
          <w:tcPr>
            <w:tcW w:w="5300" w:type="dxa"/>
            <w:shd w:val="clear" w:color="auto" w:fill="FFF2CC" w:themeFill="accent4" w:themeFillTint="33"/>
          </w:tcPr>
          <w:p w14:paraId="6D33A5D2" w14:textId="1EDEED58" w:rsidR="00B50496" w:rsidRPr="00541A4C" w:rsidRDefault="00B50496" w:rsidP="00FE5757">
            <w:pPr>
              <w:rPr>
                <w:strike/>
              </w:rPr>
            </w:pPr>
          </w:p>
        </w:tc>
        <w:tc>
          <w:tcPr>
            <w:tcW w:w="1805" w:type="dxa"/>
            <w:shd w:val="clear" w:color="auto" w:fill="FFF2CC" w:themeFill="accent4" w:themeFillTint="33"/>
          </w:tcPr>
          <w:p w14:paraId="716D4D8A" w14:textId="76D5FFB5" w:rsidR="00B50496" w:rsidRPr="00541A4C" w:rsidRDefault="00B50496" w:rsidP="00FE5757">
            <w:pPr>
              <w:rPr>
                <w:strike/>
              </w:rPr>
            </w:pPr>
          </w:p>
        </w:tc>
      </w:tr>
      <w:tr w:rsidR="00B50496" w:rsidRPr="00541A4C" w14:paraId="7E51A990" w14:textId="77C689E0" w:rsidTr="00593877">
        <w:tblPrEx>
          <w:jc w:val="left"/>
        </w:tblPrEx>
        <w:trPr>
          <w:trHeight w:val="291"/>
        </w:trPr>
        <w:tc>
          <w:tcPr>
            <w:tcW w:w="2795" w:type="dxa"/>
          </w:tcPr>
          <w:p w14:paraId="2A0DDD67" w14:textId="77777777" w:rsidR="00B50496" w:rsidRPr="00541A4C" w:rsidRDefault="00B50496" w:rsidP="438570C7">
            <w:r w:rsidRPr="00541A4C">
              <w:t>Other</w:t>
            </w:r>
          </w:p>
        </w:tc>
        <w:tc>
          <w:tcPr>
            <w:tcW w:w="5300" w:type="dxa"/>
            <w:shd w:val="clear" w:color="auto" w:fill="FFF2CC" w:themeFill="accent4" w:themeFillTint="33"/>
          </w:tcPr>
          <w:p w14:paraId="70F39314" w14:textId="7A8A189B" w:rsidR="00B50496" w:rsidRPr="00541A4C" w:rsidRDefault="00B50496" w:rsidP="00FE5757">
            <w:pPr>
              <w:rPr>
                <w:strike/>
              </w:rPr>
            </w:pPr>
          </w:p>
        </w:tc>
        <w:tc>
          <w:tcPr>
            <w:tcW w:w="1805" w:type="dxa"/>
            <w:shd w:val="clear" w:color="auto" w:fill="FFF2CC" w:themeFill="accent4" w:themeFillTint="33"/>
          </w:tcPr>
          <w:p w14:paraId="4B5E5E3A" w14:textId="0ABFC8E1" w:rsidR="00B50496" w:rsidRPr="00541A4C" w:rsidRDefault="00B50496" w:rsidP="00FE5757">
            <w:pPr>
              <w:rPr>
                <w:strike/>
              </w:rPr>
            </w:pPr>
          </w:p>
        </w:tc>
      </w:tr>
      <w:tr w:rsidR="00593877" w:rsidRPr="00541A4C" w14:paraId="7F4109C1" w14:textId="3918E368" w:rsidTr="00666C88">
        <w:tblPrEx>
          <w:jc w:val="left"/>
        </w:tblPrEx>
        <w:trPr>
          <w:trHeight w:val="291"/>
        </w:trPr>
        <w:tc>
          <w:tcPr>
            <w:tcW w:w="9900" w:type="dxa"/>
            <w:gridSpan w:val="3"/>
            <w:shd w:val="clear" w:color="auto" w:fill="93CBB7"/>
          </w:tcPr>
          <w:p w14:paraId="18D00448" w14:textId="09002EDC" w:rsidR="00593877" w:rsidRPr="00541A4C" w:rsidRDefault="00593877" w:rsidP="00FE5757">
            <w:pPr>
              <w:rPr>
                <w:color w:val="000000" w:themeColor="text1"/>
              </w:rPr>
            </w:pPr>
            <w:r w:rsidRPr="00541A4C">
              <w:rPr>
                <w:b/>
                <w:bCs/>
                <w:color w:val="000000" w:themeColor="text1"/>
              </w:rPr>
              <w:t>Library</w:t>
            </w:r>
          </w:p>
        </w:tc>
      </w:tr>
      <w:tr w:rsidR="00B50496" w:rsidRPr="00541A4C" w14:paraId="312386A5" w14:textId="3F254726" w:rsidTr="00593877">
        <w:tblPrEx>
          <w:jc w:val="left"/>
        </w:tblPrEx>
        <w:trPr>
          <w:trHeight w:val="291"/>
        </w:trPr>
        <w:tc>
          <w:tcPr>
            <w:tcW w:w="2795" w:type="dxa"/>
          </w:tcPr>
          <w:p w14:paraId="7D203BE1" w14:textId="2E8A38A5" w:rsidR="00B50496" w:rsidRPr="00541A4C" w:rsidRDefault="00B50496" w:rsidP="00FE5757">
            <w:r w:rsidRPr="00541A4C">
              <w:t>Library materials (including streamline media needs)</w:t>
            </w:r>
          </w:p>
        </w:tc>
        <w:tc>
          <w:tcPr>
            <w:tcW w:w="5300" w:type="dxa"/>
            <w:shd w:val="clear" w:color="auto" w:fill="FFF2CC" w:themeFill="accent4" w:themeFillTint="33"/>
          </w:tcPr>
          <w:p w14:paraId="58A60FDD" w14:textId="135AECF0" w:rsidR="00B50496" w:rsidRPr="00541A4C" w:rsidRDefault="00B50496" w:rsidP="009560EE"/>
        </w:tc>
        <w:tc>
          <w:tcPr>
            <w:tcW w:w="1805" w:type="dxa"/>
            <w:shd w:val="clear" w:color="auto" w:fill="FFF2CC" w:themeFill="accent4" w:themeFillTint="33"/>
          </w:tcPr>
          <w:p w14:paraId="75BB6521" w14:textId="5C6974FB" w:rsidR="00B50496" w:rsidRPr="00541A4C" w:rsidRDefault="00B50496" w:rsidP="00FE5757"/>
        </w:tc>
      </w:tr>
      <w:tr w:rsidR="00B50496" w:rsidRPr="00541A4C" w14:paraId="54ED5985" w14:textId="42F4B7F8" w:rsidTr="00593877">
        <w:tblPrEx>
          <w:jc w:val="left"/>
        </w:tblPrEx>
        <w:trPr>
          <w:trHeight w:val="291"/>
        </w:trPr>
        <w:tc>
          <w:tcPr>
            <w:tcW w:w="2795" w:type="dxa"/>
          </w:tcPr>
          <w:p w14:paraId="3AF131E5" w14:textId="77777777" w:rsidR="00B50496" w:rsidRPr="00541A4C" w:rsidRDefault="00B50496" w:rsidP="00FE5757">
            <w:r w:rsidRPr="00541A4C">
              <w:t>Library collections</w:t>
            </w:r>
          </w:p>
        </w:tc>
        <w:tc>
          <w:tcPr>
            <w:tcW w:w="5300" w:type="dxa"/>
            <w:shd w:val="clear" w:color="auto" w:fill="FFF2CC" w:themeFill="accent4" w:themeFillTint="33"/>
          </w:tcPr>
          <w:p w14:paraId="521402BF" w14:textId="547BD41A" w:rsidR="00B50496" w:rsidRPr="00541A4C" w:rsidRDefault="00B50496" w:rsidP="00FE5757"/>
        </w:tc>
        <w:tc>
          <w:tcPr>
            <w:tcW w:w="1805" w:type="dxa"/>
            <w:shd w:val="clear" w:color="auto" w:fill="FFF2CC" w:themeFill="accent4" w:themeFillTint="33"/>
          </w:tcPr>
          <w:p w14:paraId="64BA2A15" w14:textId="54B99793" w:rsidR="00B50496" w:rsidRPr="00541A4C" w:rsidRDefault="00B50496" w:rsidP="00FE5757"/>
        </w:tc>
      </w:tr>
      <w:tr w:rsidR="00B50496" w:rsidRPr="00541A4C" w14:paraId="204FE796" w14:textId="77777777" w:rsidTr="00593877">
        <w:tblPrEx>
          <w:jc w:val="left"/>
        </w:tblPrEx>
        <w:trPr>
          <w:trHeight w:val="291"/>
        </w:trPr>
        <w:tc>
          <w:tcPr>
            <w:tcW w:w="2795" w:type="dxa"/>
          </w:tcPr>
          <w:p w14:paraId="343CE1AA" w14:textId="65178B26" w:rsidR="00B50496" w:rsidRPr="00541A4C" w:rsidRDefault="00B50496" w:rsidP="00FE5757">
            <w:r w:rsidRPr="00541A4C">
              <w:t>OER</w:t>
            </w:r>
          </w:p>
        </w:tc>
        <w:tc>
          <w:tcPr>
            <w:tcW w:w="5300" w:type="dxa"/>
            <w:shd w:val="clear" w:color="auto" w:fill="FFF2CC" w:themeFill="accent4" w:themeFillTint="33"/>
          </w:tcPr>
          <w:p w14:paraId="1EA9F361" w14:textId="77777777" w:rsidR="00B50496" w:rsidRPr="00541A4C" w:rsidRDefault="00B50496" w:rsidP="00FE5757"/>
        </w:tc>
        <w:tc>
          <w:tcPr>
            <w:tcW w:w="1805" w:type="dxa"/>
            <w:shd w:val="clear" w:color="auto" w:fill="FFF2CC" w:themeFill="accent4" w:themeFillTint="33"/>
          </w:tcPr>
          <w:p w14:paraId="78EA81B0" w14:textId="77777777" w:rsidR="00B50496" w:rsidRPr="00541A4C" w:rsidRDefault="00B50496" w:rsidP="00FE5757"/>
        </w:tc>
      </w:tr>
      <w:tr w:rsidR="00B50496" w:rsidRPr="00541A4C" w14:paraId="660C171D" w14:textId="2E8B0E51" w:rsidTr="00593877">
        <w:tblPrEx>
          <w:jc w:val="left"/>
        </w:tblPrEx>
        <w:trPr>
          <w:trHeight w:val="291"/>
        </w:trPr>
        <w:tc>
          <w:tcPr>
            <w:tcW w:w="2795" w:type="dxa"/>
            <w:shd w:val="clear" w:color="auto" w:fill="93CBB7"/>
          </w:tcPr>
          <w:p w14:paraId="309020C1" w14:textId="77777777" w:rsidR="00B50496" w:rsidRPr="00541A4C" w:rsidRDefault="00B50496" w:rsidP="00517630">
            <w:pPr>
              <w:rPr>
                <w:b/>
                <w:bCs/>
                <w:color w:val="000000" w:themeColor="text1"/>
              </w:rPr>
            </w:pPr>
            <w:r w:rsidRPr="00541A4C">
              <w:rPr>
                <w:b/>
                <w:bCs/>
                <w:color w:val="000000" w:themeColor="text1"/>
              </w:rPr>
              <w:lastRenderedPageBreak/>
              <w:t>Other</w:t>
            </w:r>
          </w:p>
        </w:tc>
        <w:tc>
          <w:tcPr>
            <w:tcW w:w="5300" w:type="dxa"/>
            <w:shd w:val="clear" w:color="auto" w:fill="93CBB7"/>
          </w:tcPr>
          <w:p w14:paraId="244552FF" w14:textId="69C65A46" w:rsidR="00B50496" w:rsidRPr="00541A4C" w:rsidRDefault="00B50496" w:rsidP="00FE5757">
            <w:pPr>
              <w:rPr>
                <w:color w:val="000000" w:themeColor="text1"/>
              </w:rPr>
            </w:pPr>
          </w:p>
        </w:tc>
        <w:tc>
          <w:tcPr>
            <w:tcW w:w="1805" w:type="dxa"/>
            <w:shd w:val="clear" w:color="auto" w:fill="93CBB7"/>
          </w:tcPr>
          <w:p w14:paraId="128DD409" w14:textId="7854D6EE" w:rsidR="00B50496" w:rsidRPr="00541A4C" w:rsidRDefault="00B50496" w:rsidP="00FE5757">
            <w:pPr>
              <w:rPr>
                <w:color w:val="000000" w:themeColor="text1"/>
              </w:rPr>
            </w:pPr>
          </w:p>
        </w:tc>
      </w:tr>
      <w:tr w:rsidR="00B50496" w:rsidRPr="00541A4C" w14:paraId="5DB815BC" w14:textId="4E375525" w:rsidTr="00593877">
        <w:tblPrEx>
          <w:jc w:val="left"/>
        </w:tblPrEx>
        <w:trPr>
          <w:trHeight w:val="291"/>
        </w:trPr>
        <w:tc>
          <w:tcPr>
            <w:tcW w:w="2795" w:type="dxa"/>
          </w:tcPr>
          <w:p w14:paraId="78DF9610" w14:textId="77777777" w:rsidR="00B50496" w:rsidRPr="00541A4C" w:rsidRDefault="00B50496" w:rsidP="00FE5757">
            <w:r w:rsidRPr="00541A4C">
              <w:t>OTHER Description</w:t>
            </w:r>
          </w:p>
        </w:tc>
        <w:tc>
          <w:tcPr>
            <w:tcW w:w="5300" w:type="dxa"/>
            <w:shd w:val="clear" w:color="auto" w:fill="FFF2CC" w:themeFill="accent4" w:themeFillTint="33"/>
          </w:tcPr>
          <w:p w14:paraId="348CDE8C" w14:textId="52359B2F" w:rsidR="00B50496" w:rsidRPr="00541A4C" w:rsidRDefault="00B50496" w:rsidP="009560EE"/>
        </w:tc>
        <w:tc>
          <w:tcPr>
            <w:tcW w:w="1805" w:type="dxa"/>
            <w:shd w:val="clear" w:color="auto" w:fill="FFF2CC" w:themeFill="accent4" w:themeFillTint="33"/>
          </w:tcPr>
          <w:p w14:paraId="1B4268B8" w14:textId="6EF8CCCC" w:rsidR="00B50496" w:rsidRPr="00541A4C" w:rsidRDefault="00B50496" w:rsidP="00FE5757"/>
        </w:tc>
      </w:tr>
    </w:tbl>
    <w:p w14:paraId="6BED6F46" w14:textId="77777777" w:rsidR="006E3945" w:rsidRPr="00541A4C" w:rsidRDefault="006E3945" w:rsidP="00415BAC">
      <w:pPr>
        <w:pStyle w:val="BodyText"/>
        <w:spacing w:before="99"/>
        <w:ind w:right="40"/>
        <w:jc w:val="center"/>
        <w:rPr>
          <w:rFonts w:ascii="Times New Roman" w:hAnsi="Times New Roman" w:cs="Times New Roman"/>
          <w:b/>
          <w:bCs/>
          <w:sz w:val="24"/>
          <w:szCs w:val="24"/>
        </w:rPr>
      </w:pPr>
    </w:p>
    <w:p w14:paraId="20317E9B" w14:textId="4C7CD468" w:rsidR="0020247B" w:rsidRPr="00541A4C" w:rsidRDefault="0020247B" w:rsidP="00415BAC">
      <w:pPr>
        <w:pStyle w:val="BodyText"/>
        <w:spacing w:before="99"/>
        <w:ind w:right="40"/>
        <w:jc w:val="center"/>
        <w:rPr>
          <w:rFonts w:ascii="Times New Roman" w:hAnsi="Times New Roman" w:cs="Times New Roman"/>
          <w:b/>
          <w:bCs/>
          <w:sz w:val="24"/>
          <w:szCs w:val="24"/>
        </w:rPr>
      </w:pPr>
      <w:r w:rsidRPr="00541A4C">
        <w:rPr>
          <w:rFonts w:ascii="Times New Roman" w:hAnsi="Times New Roman" w:cs="Times New Roman"/>
          <w:b/>
          <w:bCs/>
          <w:sz w:val="24"/>
          <w:szCs w:val="24"/>
        </w:rPr>
        <w:t>Thank you for your time and effort in completing</w:t>
      </w:r>
      <w:r w:rsidR="00C93B45" w:rsidRPr="00541A4C">
        <w:rPr>
          <w:rFonts w:ascii="Times New Roman" w:hAnsi="Times New Roman" w:cs="Times New Roman"/>
          <w:b/>
          <w:bCs/>
          <w:sz w:val="24"/>
          <w:szCs w:val="24"/>
        </w:rPr>
        <w:t xml:space="preserve"> the </w:t>
      </w:r>
      <w:r w:rsidR="003E7EDF" w:rsidRPr="00541A4C">
        <w:rPr>
          <w:rFonts w:ascii="Times New Roman" w:hAnsi="Times New Roman" w:cs="Times New Roman"/>
          <w:b/>
          <w:bCs/>
          <w:sz w:val="24"/>
          <w:szCs w:val="24"/>
        </w:rPr>
        <w:t>Annual Program Update</w:t>
      </w:r>
      <w:r w:rsidRPr="00541A4C">
        <w:rPr>
          <w:rFonts w:ascii="Times New Roman" w:hAnsi="Times New Roman" w:cs="Times New Roman"/>
          <w:b/>
          <w:bCs/>
          <w:sz w:val="24"/>
          <w:szCs w:val="24"/>
        </w:rPr>
        <w:t>!</w:t>
      </w:r>
    </w:p>
    <w:p w14:paraId="6526E524" w14:textId="5A5529AA" w:rsidR="0020247B" w:rsidRPr="00541A4C" w:rsidRDefault="008C786C" w:rsidP="00E35ADB">
      <w:pPr>
        <w:jc w:val="center"/>
      </w:pPr>
      <w:r w:rsidRPr="00541A4C">
        <w:rPr>
          <w:b/>
          <w:bCs/>
        </w:rPr>
        <w:t xml:space="preserve">Please email the completed Program Review to your Dean by </w:t>
      </w:r>
      <w:r w:rsidRPr="00541A4C">
        <w:rPr>
          <w:rFonts w:eastAsia="Avenir"/>
          <w:b/>
          <w:bCs/>
          <w:color w:val="000000" w:themeColor="text1"/>
        </w:rPr>
        <w:t>November 30,</w:t>
      </w:r>
      <w:r w:rsidRPr="00541A4C">
        <w:rPr>
          <w:b/>
          <w:bCs/>
          <w:color w:val="000000" w:themeColor="text1"/>
        </w:rPr>
        <w:t xml:space="preserve"> </w:t>
      </w:r>
      <w:r w:rsidR="003E7EDF" w:rsidRPr="00541A4C">
        <w:rPr>
          <w:b/>
          <w:bCs/>
          <w:color w:val="000000" w:themeColor="text1"/>
        </w:rPr>
        <w:t>2022</w:t>
      </w:r>
    </w:p>
    <w:sectPr w:rsidR="0020247B" w:rsidRPr="00541A4C" w:rsidSect="00766713">
      <w:headerReference w:type="default" r:id="rId37"/>
      <w:footerReference w:type="default" r:id="rId38"/>
      <w:pgSz w:w="12240" w:h="15840"/>
      <w:pgMar w:top="720" w:right="1152" w:bottom="1008"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Kuni Hay" w:date="2022-10-13T09:59:00Z" w:initials="KH">
    <w:p w14:paraId="4C7DE81B" w14:textId="17CE0EE7" w:rsidR="00666C88" w:rsidRDefault="00666C88">
      <w:pPr>
        <w:pStyle w:val="CommentText"/>
      </w:pPr>
      <w:r>
        <w:rPr>
          <w:rStyle w:val="CommentReference"/>
        </w:rPr>
        <w:annotationRef/>
      </w:r>
      <w:r>
        <w:t>Can we include BCC’ overall retention, success and completion rate from Phoumy Becky data slides here?</w:t>
      </w:r>
    </w:p>
  </w:comment>
  <w:comment w:id="1" w:author="Kuni Hay" w:date="2022-10-13T12:06:00Z" w:initials="KH">
    <w:p w14:paraId="586D2866" w14:textId="6C3C3FEE" w:rsidR="00666C88" w:rsidRDefault="00666C88">
      <w:pPr>
        <w:pStyle w:val="CommentText"/>
      </w:pPr>
      <w:r>
        <w:rPr>
          <w:rStyle w:val="CommentReference"/>
        </w:rPr>
        <w:annotationRef/>
      </w:r>
      <w:r>
        <w:t>Link “Academic and Career Community” 6 clusters and what programs are in each cluster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7DE81B" w15:done="0"/>
  <w15:commentEx w15:paraId="586D28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7DE81B" w16cid:durableId="26F25FFD"/>
  <w16cid:commentId w16cid:paraId="586D2866" w16cid:durableId="26F27D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5E0D6" w14:textId="77777777" w:rsidR="00666C88" w:rsidRDefault="00666C88" w:rsidP="000A0E4A">
      <w:r>
        <w:separator/>
      </w:r>
    </w:p>
  </w:endnote>
  <w:endnote w:type="continuationSeparator" w:id="0">
    <w:p w14:paraId="66EF7137" w14:textId="77777777" w:rsidR="00666C88" w:rsidRDefault="00666C88" w:rsidP="000A0E4A">
      <w:r>
        <w:continuationSeparator/>
      </w:r>
    </w:p>
  </w:endnote>
  <w:endnote w:type="continuationNotice" w:id="1">
    <w:p w14:paraId="7C670A0B" w14:textId="77777777" w:rsidR="00666C88" w:rsidRDefault="00666C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venir Black">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venir">
    <w:altName w:val="Calibri"/>
    <w:charset w:val="4D"/>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HELVETICA NEUE CONDENSED BLACK">
    <w:altName w:val="Arial"/>
    <w:charset w:val="00"/>
    <w:family w:val="auto"/>
    <w:pitch w:val="variable"/>
    <w:sig w:usb0="A00002FF" w:usb1="5000205A" w:usb2="00000000" w:usb3="00000000" w:csb0="00000001"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4754E" w14:textId="7FBBDE07" w:rsidR="00666C88" w:rsidRPr="00241D3A" w:rsidRDefault="00666C88" w:rsidP="00F051BE">
    <w:pPr>
      <w:pStyle w:val="Footer"/>
      <w:rPr>
        <w:rFonts w:ascii="Avenir Book" w:hAnsi="Avenir Book"/>
        <w:sz w:val="16"/>
        <w:szCs w:val="16"/>
      </w:rPr>
    </w:pPr>
    <w:r w:rsidRPr="00F051BE">
      <w:rPr>
        <w:rFonts w:ascii="Avenir Book" w:hAnsi="Avenir Book"/>
        <w:b/>
        <w:bCs/>
        <w:sz w:val="16"/>
        <w:szCs w:val="16"/>
      </w:rPr>
      <w:t xml:space="preserve">Due to Deans and Managers by: </w:t>
    </w:r>
    <w:r>
      <w:rPr>
        <w:rFonts w:ascii="Avenir Book" w:hAnsi="Avenir Book"/>
        <w:b/>
        <w:bCs/>
        <w:sz w:val="16"/>
        <w:szCs w:val="16"/>
      </w:rPr>
      <w:t>November 30</w:t>
    </w:r>
    <w:r w:rsidRPr="00F051BE">
      <w:rPr>
        <w:rFonts w:ascii="Avenir Book" w:hAnsi="Avenir Book"/>
        <w:b/>
        <w:bCs/>
        <w:sz w:val="16"/>
        <w:szCs w:val="16"/>
      </w:rPr>
      <w:t>, 202</w:t>
    </w:r>
    <w:r>
      <w:rPr>
        <w:rFonts w:ascii="Avenir Book" w:hAnsi="Avenir Book"/>
        <w:b/>
        <w:bCs/>
        <w:sz w:val="16"/>
        <w:szCs w:val="16"/>
      </w:rPr>
      <w:t>2</w:t>
    </w:r>
    <w:r w:rsidRPr="00F051BE">
      <w:rPr>
        <w:rFonts w:ascii="Avenir Book" w:hAnsi="Avenir Book"/>
        <w:b/>
        <w:bCs/>
        <w:sz w:val="16"/>
        <w:szCs w:val="16"/>
      </w:rPr>
      <w:t>.</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Pr="00241D3A">
      <w:rPr>
        <w:rFonts w:ascii="Avenir Book" w:hAnsi="Avenir Book"/>
        <w:sz w:val="16"/>
        <w:szCs w:val="16"/>
      </w:rPr>
      <w:t>202</w:t>
    </w:r>
    <w:r>
      <w:rPr>
        <w:rFonts w:ascii="Avenir Book" w:hAnsi="Avenir Book"/>
        <w:sz w:val="16"/>
        <w:szCs w:val="16"/>
      </w:rPr>
      <w:t>2</w:t>
    </w:r>
    <w:r w:rsidRPr="00241D3A">
      <w:rPr>
        <w:rFonts w:ascii="Avenir Book" w:hAnsi="Avenir Book"/>
        <w:sz w:val="16"/>
        <w:szCs w:val="16"/>
      </w:rPr>
      <w:t>-2</w:t>
    </w:r>
    <w:r>
      <w:rPr>
        <w:rFonts w:ascii="Avenir Book" w:hAnsi="Avenir Book"/>
        <w:sz w:val="16"/>
        <w:szCs w:val="16"/>
      </w:rPr>
      <w:t>3</w:t>
    </w:r>
    <w:r w:rsidRPr="00241D3A">
      <w:rPr>
        <w:rFonts w:ascii="Avenir Book" w:hAnsi="Avenir Book"/>
        <w:sz w:val="16"/>
        <w:szCs w:val="16"/>
      </w:rPr>
      <w:t xml:space="preserve"> </w:t>
    </w:r>
    <w:r>
      <w:rPr>
        <w:rFonts w:ascii="Avenir Book" w:hAnsi="Avenir Book"/>
        <w:sz w:val="16"/>
        <w:szCs w:val="16"/>
      </w:rPr>
      <w:t xml:space="preserve">Annual Program Update </w:t>
    </w:r>
    <w:r w:rsidRPr="00241D3A">
      <w:rPr>
        <w:rFonts w:ascii="Avenir Book" w:hAnsi="Avenir Book"/>
        <w:sz w:val="16"/>
        <w:szCs w:val="16"/>
      </w:rPr>
      <w:t xml:space="preserve">– Instructional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14:paraId="26350136" w14:textId="77777777" w:rsidR="00666C88" w:rsidRDefault="00666C88"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ADB56" w14:textId="77777777" w:rsidR="00666C88" w:rsidRDefault="00666C88" w:rsidP="000A0E4A">
      <w:r>
        <w:separator/>
      </w:r>
    </w:p>
  </w:footnote>
  <w:footnote w:type="continuationSeparator" w:id="0">
    <w:p w14:paraId="4D801F50" w14:textId="77777777" w:rsidR="00666C88" w:rsidRDefault="00666C88" w:rsidP="000A0E4A">
      <w:r>
        <w:continuationSeparator/>
      </w:r>
    </w:p>
  </w:footnote>
  <w:footnote w:type="continuationNotice" w:id="1">
    <w:p w14:paraId="33551186" w14:textId="77777777" w:rsidR="00666C88" w:rsidRDefault="00666C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54673" w14:textId="62C15B0B" w:rsidR="00666C88" w:rsidRPr="00E156B9" w:rsidRDefault="00666C88" w:rsidP="001C2F46">
    <w:pPr>
      <w:pStyle w:val="NoSpacing"/>
      <w:jc w:val="center"/>
      <w:rPr>
        <w:rFonts w:ascii="HELVETICA NEUE CONDENSED BLACK" w:hAnsi="HELVETICA NEUE CONDENSED BLACK" w:cs="Segoe UI"/>
        <w:color w:val="009193"/>
        <w:sz w:val="44"/>
        <w:szCs w:val="44"/>
      </w:rPr>
    </w:pPr>
    <w:r w:rsidRPr="00E156B9">
      <w:rPr>
        <w:rFonts w:ascii="HELVETICA NEUE CONDENSED BLACK" w:hAnsi="HELVETICA NEUE CONDENSED BLACK" w:cs="Segoe UI"/>
        <w:noProof/>
        <w:color w:val="009193"/>
        <w:sz w:val="44"/>
        <w:szCs w:val="44"/>
      </w:rPr>
      <w:drawing>
        <wp:anchor distT="0" distB="0" distL="114300" distR="114300" simplePos="0" relativeHeight="251658241"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56B9">
      <w:rPr>
        <w:rFonts w:ascii="HELVETICA NEUE CONDENSED BLACK" w:hAnsi="HELVETICA NEUE CONDENSED BLACK"/>
        <w:noProof/>
        <w:sz w:val="44"/>
        <w:szCs w:val="44"/>
      </w:rPr>
      <w:drawing>
        <wp:anchor distT="0" distB="0" distL="114300" distR="114300" simplePos="0" relativeHeight="251658240"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Pr>
        <w:rFonts w:ascii="HELVETICA NEUE CONDENSED BLACK" w:hAnsi="HELVETICA NEUE CONDENSED BLACK" w:cs="Segoe UI"/>
        <w:color w:val="009193"/>
        <w:sz w:val="44"/>
        <w:szCs w:val="44"/>
      </w:rPr>
      <w:t>2022-2023</w:t>
    </w:r>
    <w:r w:rsidRPr="00E156B9">
      <w:rPr>
        <w:rFonts w:ascii="HELVETICA NEUE CONDENSED BLACK" w:hAnsi="HELVETICA NEUE CONDENSED BLACK" w:cs="Segoe UI"/>
        <w:color w:val="009193"/>
        <w:sz w:val="44"/>
        <w:szCs w:val="44"/>
      </w:rPr>
      <w:t xml:space="preserve"> </w:t>
    </w:r>
    <w:r>
      <w:rPr>
        <w:rFonts w:ascii="HELVETICA NEUE CONDENSED BLACK" w:hAnsi="HELVETICA NEUE CONDENSED BLACK" w:cs="Segoe UI"/>
        <w:color w:val="009193"/>
        <w:sz w:val="44"/>
        <w:szCs w:val="44"/>
      </w:rPr>
      <w:t>Annual Program Update</w:t>
    </w:r>
  </w:p>
  <w:p w14:paraId="2762A754" w14:textId="3804AB9D" w:rsidR="00666C88" w:rsidRPr="00E156B9" w:rsidRDefault="00666C88" w:rsidP="002873CE">
    <w:pPr>
      <w:pStyle w:val="NoSpacing"/>
      <w:shd w:val="clear" w:color="auto" w:fill="009193"/>
      <w:jc w:val="center"/>
      <w:rPr>
        <w:rFonts w:ascii="HELVETICA NEUE CONDENSED BLACK" w:hAnsi="HELVETICA NEUE CONDENSED BLACK" w:cs="Segoe UI"/>
        <w:color w:val="FFFFFF" w:themeColor="background1"/>
        <w:sz w:val="36"/>
        <w:szCs w:val="36"/>
      </w:rPr>
    </w:pPr>
    <w:r w:rsidRPr="00E156B9">
      <w:rPr>
        <w:rFonts w:ascii="HELVETICA NEUE CONDENSED BLACK" w:hAnsi="HELVETICA NEUE CONDENSED BLACK" w:cs="Segoe UI"/>
        <w:color w:val="FFFFFF" w:themeColor="background1"/>
        <w:sz w:val="36"/>
        <w:szCs w:val="36"/>
      </w:rPr>
      <w:t>INSTRUCTION</w:t>
    </w:r>
  </w:p>
  <w:p w14:paraId="7267D316" w14:textId="77777777" w:rsidR="00666C88" w:rsidRDefault="00666C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49F650E"/>
    <w:multiLevelType w:val="hybridMultilevel"/>
    <w:tmpl w:val="1D68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E19E1"/>
    <w:multiLevelType w:val="hybridMultilevel"/>
    <w:tmpl w:val="E89C5136"/>
    <w:lvl w:ilvl="0" w:tplc="F9F61366">
      <w:start w:val="1"/>
      <w:numFmt w:val="bullet"/>
      <w:lvlText w:val=""/>
      <w:lvlJc w:val="left"/>
      <w:pPr>
        <w:ind w:left="720" w:hanging="360"/>
      </w:pPr>
      <w:rPr>
        <w:rFonts w:ascii="Symbol" w:hAnsi="Symbol" w:hint="default"/>
      </w:rPr>
    </w:lvl>
    <w:lvl w:ilvl="1" w:tplc="B71EA652">
      <w:start w:val="1"/>
      <w:numFmt w:val="bullet"/>
      <w:lvlText w:val="o"/>
      <w:lvlJc w:val="left"/>
      <w:pPr>
        <w:ind w:left="1440" w:hanging="360"/>
      </w:pPr>
      <w:rPr>
        <w:rFonts w:ascii="Courier New" w:hAnsi="Courier New" w:hint="default"/>
      </w:rPr>
    </w:lvl>
    <w:lvl w:ilvl="2" w:tplc="3E06C9E2">
      <w:start w:val="1"/>
      <w:numFmt w:val="bullet"/>
      <w:lvlText w:val=""/>
      <w:lvlJc w:val="left"/>
      <w:pPr>
        <w:ind w:left="2160" w:hanging="360"/>
      </w:pPr>
      <w:rPr>
        <w:rFonts w:ascii="Wingdings" w:hAnsi="Wingdings" w:hint="default"/>
      </w:rPr>
    </w:lvl>
    <w:lvl w:ilvl="3" w:tplc="79F4F498">
      <w:start w:val="1"/>
      <w:numFmt w:val="bullet"/>
      <w:lvlText w:val=""/>
      <w:lvlJc w:val="left"/>
      <w:pPr>
        <w:ind w:left="2880" w:hanging="360"/>
      </w:pPr>
      <w:rPr>
        <w:rFonts w:ascii="Symbol" w:hAnsi="Symbol" w:hint="default"/>
      </w:rPr>
    </w:lvl>
    <w:lvl w:ilvl="4" w:tplc="F64ECB4E">
      <w:start w:val="1"/>
      <w:numFmt w:val="bullet"/>
      <w:lvlText w:val="o"/>
      <w:lvlJc w:val="left"/>
      <w:pPr>
        <w:ind w:left="3600" w:hanging="360"/>
      </w:pPr>
      <w:rPr>
        <w:rFonts w:ascii="Courier New" w:hAnsi="Courier New" w:hint="default"/>
      </w:rPr>
    </w:lvl>
    <w:lvl w:ilvl="5" w:tplc="14D6D88E">
      <w:start w:val="1"/>
      <w:numFmt w:val="bullet"/>
      <w:lvlText w:val=""/>
      <w:lvlJc w:val="left"/>
      <w:pPr>
        <w:ind w:left="4320" w:hanging="360"/>
      </w:pPr>
      <w:rPr>
        <w:rFonts w:ascii="Wingdings" w:hAnsi="Wingdings" w:hint="default"/>
      </w:rPr>
    </w:lvl>
    <w:lvl w:ilvl="6" w:tplc="4F70F86C">
      <w:start w:val="1"/>
      <w:numFmt w:val="bullet"/>
      <w:lvlText w:val=""/>
      <w:lvlJc w:val="left"/>
      <w:pPr>
        <w:ind w:left="5040" w:hanging="360"/>
      </w:pPr>
      <w:rPr>
        <w:rFonts w:ascii="Symbol" w:hAnsi="Symbol" w:hint="default"/>
      </w:rPr>
    </w:lvl>
    <w:lvl w:ilvl="7" w:tplc="06A8A826">
      <w:start w:val="1"/>
      <w:numFmt w:val="bullet"/>
      <w:lvlText w:val="o"/>
      <w:lvlJc w:val="left"/>
      <w:pPr>
        <w:ind w:left="5760" w:hanging="360"/>
      </w:pPr>
      <w:rPr>
        <w:rFonts w:ascii="Courier New" w:hAnsi="Courier New" w:hint="default"/>
      </w:rPr>
    </w:lvl>
    <w:lvl w:ilvl="8" w:tplc="5B621462">
      <w:start w:val="1"/>
      <w:numFmt w:val="bullet"/>
      <w:lvlText w:val=""/>
      <w:lvlJc w:val="left"/>
      <w:pPr>
        <w:ind w:left="6480" w:hanging="360"/>
      </w:pPr>
      <w:rPr>
        <w:rFonts w:ascii="Wingdings" w:hAnsi="Wingdings" w:hint="default"/>
      </w:rPr>
    </w:lvl>
  </w:abstractNum>
  <w:abstractNum w:abstractNumId="3"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D1667"/>
    <w:multiLevelType w:val="hybridMultilevel"/>
    <w:tmpl w:val="4146961A"/>
    <w:lvl w:ilvl="0" w:tplc="23A2811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82C8C"/>
    <w:multiLevelType w:val="hybridMultilevel"/>
    <w:tmpl w:val="B3C06D1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D6CBC"/>
    <w:multiLevelType w:val="hybridMultilevel"/>
    <w:tmpl w:val="8172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2" w15:restartNumberingAfterBreak="0">
    <w:nsid w:val="20D65743"/>
    <w:multiLevelType w:val="hybridMultilevel"/>
    <w:tmpl w:val="DD38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2F247F"/>
    <w:multiLevelType w:val="hybridMultilevel"/>
    <w:tmpl w:val="BFD60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E11532"/>
    <w:multiLevelType w:val="hybridMultilevel"/>
    <w:tmpl w:val="87CE6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F07F9"/>
    <w:multiLevelType w:val="hybridMultilevel"/>
    <w:tmpl w:val="0D4A5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A92024"/>
    <w:multiLevelType w:val="hybridMultilevel"/>
    <w:tmpl w:val="92F40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D42A9F"/>
    <w:multiLevelType w:val="hybridMultilevel"/>
    <w:tmpl w:val="8FFA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3"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F41690"/>
    <w:multiLevelType w:val="hybridMultilevel"/>
    <w:tmpl w:val="46A20F2C"/>
    <w:lvl w:ilvl="0" w:tplc="FFFFFFFF">
      <w:start w:val="3"/>
      <w:numFmt w:val="upperRoman"/>
      <w:lvlText w:val="%1."/>
      <w:lvlJc w:val="left"/>
      <w:pPr>
        <w:ind w:left="800" w:hanging="720"/>
      </w:pPr>
      <w:rPr>
        <w:rFonts w:hint="default"/>
        <w:b/>
        <w:u w:val="none"/>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27"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9" w15:restartNumberingAfterBreak="0">
    <w:nsid w:val="4ECD4BB5"/>
    <w:multiLevelType w:val="hybridMultilevel"/>
    <w:tmpl w:val="60A29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610C19"/>
    <w:multiLevelType w:val="hybridMultilevel"/>
    <w:tmpl w:val="932C6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6"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B80141"/>
    <w:multiLevelType w:val="hybridMultilevel"/>
    <w:tmpl w:val="6E205CFE"/>
    <w:lvl w:ilvl="0" w:tplc="3E06C9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2A2ECC"/>
    <w:multiLevelType w:val="hybridMultilevel"/>
    <w:tmpl w:val="E530D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BC1655"/>
    <w:multiLevelType w:val="hybridMultilevel"/>
    <w:tmpl w:val="E9D6629A"/>
    <w:lvl w:ilvl="0" w:tplc="1B1ED63E">
      <w:start w:val="1"/>
      <w:numFmt w:val="decimal"/>
      <w:lvlText w:val="%1."/>
      <w:lvlJc w:val="left"/>
      <w:pPr>
        <w:ind w:left="720" w:hanging="360"/>
      </w:pPr>
    </w:lvl>
    <w:lvl w:ilvl="1" w:tplc="C2B406A0">
      <w:start w:val="1"/>
      <w:numFmt w:val="lowerLetter"/>
      <w:lvlText w:val="%2."/>
      <w:lvlJc w:val="left"/>
      <w:pPr>
        <w:ind w:left="1440" w:hanging="360"/>
      </w:pPr>
    </w:lvl>
    <w:lvl w:ilvl="2" w:tplc="653AC75C">
      <w:start w:val="1"/>
      <w:numFmt w:val="lowerRoman"/>
      <w:lvlText w:val="%3."/>
      <w:lvlJc w:val="right"/>
      <w:pPr>
        <w:ind w:left="2160" w:hanging="180"/>
      </w:pPr>
    </w:lvl>
    <w:lvl w:ilvl="3" w:tplc="B8902606">
      <w:start w:val="1"/>
      <w:numFmt w:val="decimal"/>
      <w:lvlText w:val="%4."/>
      <w:lvlJc w:val="left"/>
      <w:pPr>
        <w:ind w:left="2880" w:hanging="360"/>
      </w:pPr>
    </w:lvl>
    <w:lvl w:ilvl="4" w:tplc="24728AA6">
      <w:start w:val="1"/>
      <w:numFmt w:val="lowerLetter"/>
      <w:lvlText w:val="%5."/>
      <w:lvlJc w:val="left"/>
      <w:pPr>
        <w:ind w:left="3600" w:hanging="360"/>
      </w:pPr>
    </w:lvl>
    <w:lvl w:ilvl="5" w:tplc="8D5C670E">
      <w:start w:val="1"/>
      <w:numFmt w:val="lowerRoman"/>
      <w:lvlText w:val="%6."/>
      <w:lvlJc w:val="right"/>
      <w:pPr>
        <w:ind w:left="4320" w:hanging="180"/>
      </w:pPr>
    </w:lvl>
    <w:lvl w:ilvl="6" w:tplc="2138A256">
      <w:start w:val="1"/>
      <w:numFmt w:val="decimal"/>
      <w:lvlText w:val="%7."/>
      <w:lvlJc w:val="left"/>
      <w:pPr>
        <w:ind w:left="5040" w:hanging="360"/>
      </w:pPr>
    </w:lvl>
    <w:lvl w:ilvl="7" w:tplc="3B94FF00">
      <w:start w:val="1"/>
      <w:numFmt w:val="lowerLetter"/>
      <w:lvlText w:val="%8."/>
      <w:lvlJc w:val="left"/>
      <w:pPr>
        <w:ind w:left="5760" w:hanging="360"/>
      </w:pPr>
    </w:lvl>
    <w:lvl w:ilvl="8" w:tplc="64848810">
      <w:start w:val="1"/>
      <w:numFmt w:val="lowerRoman"/>
      <w:lvlText w:val="%9."/>
      <w:lvlJc w:val="right"/>
      <w:pPr>
        <w:ind w:left="6480" w:hanging="180"/>
      </w:pPr>
    </w:lvl>
  </w:abstractNum>
  <w:abstractNum w:abstractNumId="43"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2"/>
  </w:num>
  <w:num w:numId="2">
    <w:abstractNumId w:val="2"/>
  </w:num>
  <w:num w:numId="3">
    <w:abstractNumId w:val="38"/>
  </w:num>
  <w:num w:numId="4">
    <w:abstractNumId w:val="24"/>
  </w:num>
  <w:num w:numId="5">
    <w:abstractNumId w:val="36"/>
  </w:num>
  <w:num w:numId="6">
    <w:abstractNumId w:val="9"/>
  </w:num>
  <w:num w:numId="7">
    <w:abstractNumId w:val="27"/>
  </w:num>
  <w:num w:numId="8">
    <w:abstractNumId w:val="39"/>
  </w:num>
  <w:num w:numId="9">
    <w:abstractNumId w:val="5"/>
  </w:num>
  <w:num w:numId="10">
    <w:abstractNumId w:val="41"/>
  </w:num>
  <w:num w:numId="11">
    <w:abstractNumId w:val="32"/>
  </w:num>
  <w:num w:numId="12">
    <w:abstractNumId w:val="31"/>
  </w:num>
  <w:num w:numId="13">
    <w:abstractNumId w:val="43"/>
  </w:num>
  <w:num w:numId="14">
    <w:abstractNumId w:val="10"/>
  </w:num>
  <w:num w:numId="15">
    <w:abstractNumId w:val="30"/>
  </w:num>
  <w:num w:numId="16">
    <w:abstractNumId w:val="7"/>
  </w:num>
  <w:num w:numId="17">
    <w:abstractNumId w:val="3"/>
  </w:num>
  <w:num w:numId="18">
    <w:abstractNumId w:val="14"/>
  </w:num>
  <w:num w:numId="19">
    <w:abstractNumId w:val="34"/>
  </w:num>
  <w:num w:numId="20">
    <w:abstractNumId w:val="28"/>
  </w:num>
  <w:num w:numId="21">
    <w:abstractNumId w:val="12"/>
  </w:num>
  <w:num w:numId="22">
    <w:abstractNumId w:val="16"/>
  </w:num>
  <w:num w:numId="23">
    <w:abstractNumId w:val="17"/>
  </w:num>
  <w:num w:numId="24">
    <w:abstractNumId w:val="15"/>
  </w:num>
  <w:num w:numId="25">
    <w:abstractNumId w:val="21"/>
  </w:num>
  <w:num w:numId="26">
    <w:abstractNumId w:val="29"/>
  </w:num>
  <w:num w:numId="27">
    <w:abstractNumId w:val="20"/>
  </w:num>
  <w:num w:numId="28">
    <w:abstractNumId w:val="18"/>
  </w:num>
  <w:num w:numId="29">
    <w:abstractNumId w:val="11"/>
  </w:num>
  <w:num w:numId="30">
    <w:abstractNumId w:val="22"/>
  </w:num>
  <w:num w:numId="31">
    <w:abstractNumId w:val="0"/>
  </w:num>
  <w:num w:numId="32">
    <w:abstractNumId w:val="35"/>
  </w:num>
  <w:num w:numId="33">
    <w:abstractNumId w:val="6"/>
  </w:num>
  <w:num w:numId="34">
    <w:abstractNumId w:val="25"/>
  </w:num>
  <w:num w:numId="35">
    <w:abstractNumId w:val="23"/>
  </w:num>
  <w:num w:numId="36">
    <w:abstractNumId w:val="37"/>
  </w:num>
  <w:num w:numId="37">
    <w:abstractNumId w:val="13"/>
  </w:num>
  <w:num w:numId="38">
    <w:abstractNumId w:val="8"/>
  </w:num>
  <w:num w:numId="39">
    <w:abstractNumId w:val="19"/>
  </w:num>
  <w:num w:numId="40">
    <w:abstractNumId w:val="1"/>
  </w:num>
  <w:num w:numId="41">
    <w:abstractNumId w:val="26"/>
  </w:num>
  <w:num w:numId="42">
    <w:abstractNumId w:val="4"/>
  </w:num>
  <w:num w:numId="43">
    <w:abstractNumId w:val="33"/>
  </w:num>
  <w:num w:numId="44">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uni Hay">
    <w15:presenceInfo w15:providerId="AD" w15:userId="S::khay@peralta.edu::af186426-17ec-4f68-a003-7124e4e43d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12E2F"/>
    <w:rsid w:val="00015F05"/>
    <w:rsid w:val="0002207B"/>
    <w:rsid w:val="0002643A"/>
    <w:rsid w:val="0003251A"/>
    <w:rsid w:val="00037073"/>
    <w:rsid w:val="00045335"/>
    <w:rsid w:val="00046315"/>
    <w:rsid w:val="00047520"/>
    <w:rsid w:val="00051DCF"/>
    <w:rsid w:val="00060181"/>
    <w:rsid w:val="00064350"/>
    <w:rsid w:val="00066A61"/>
    <w:rsid w:val="00067241"/>
    <w:rsid w:val="000735E4"/>
    <w:rsid w:val="00091285"/>
    <w:rsid w:val="0009191B"/>
    <w:rsid w:val="00092046"/>
    <w:rsid w:val="000A0E4A"/>
    <w:rsid w:val="000B22DC"/>
    <w:rsid w:val="000B45EF"/>
    <w:rsid w:val="000C4F1D"/>
    <w:rsid w:val="000D087A"/>
    <w:rsid w:val="000D54BB"/>
    <w:rsid w:val="000D7645"/>
    <w:rsid w:val="000E7290"/>
    <w:rsid w:val="000E7A92"/>
    <w:rsid w:val="000E7F1F"/>
    <w:rsid w:val="00100D61"/>
    <w:rsid w:val="00101CB6"/>
    <w:rsid w:val="00106447"/>
    <w:rsid w:val="00112BC5"/>
    <w:rsid w:val="001135A7"/>
    <w:rsid w:val="00115D65"/>
    <w:rsid w:val="001164BF"/>
    <w:rsid w:val="00124C49"/>
    <w:rsid w:val="00124E7D"/>
    <w:rsid w:val="001319CA"/>
    <w:rsid w:val="00135120"/>
    <w:rsid w:val="00135F5D"/>
    <w:rsid w:val="00136FD1"/>
    <w:rsid w:val="0013741D"/>
    <w:rsid w:val="00144786"/>
    <w:rsid w:val="00145E32"/>
    <w:rsid w:val="001553A9"/>
    <w:rsid w:val="001623CE"/>
    <w:rsid w:val="00164383"/>
    <w:rsid w:val="001670B0"/>
    <w:rsid w:val="0016720E"/>
    <w:rsid w:val="0017082D"/>
    <w:rsid w:val="00171A77"/>
    <w:rsid w:val="00175D9A"/>
    <w:rsid w:val="001815B9"/>
    <w:rsid w:val="00182232"/>
    <w:rsid w:val="00191B5F"/>
    <w:rsid w:val="001930D6"/>
    <w:rsid w:val="001B454D"/>
    <w:rsid w:val="001C0579"/>
    <w:rsid w:val="001C1050"/>
    <w:rsid w:val="001C2F46"/>
    <w:rsid w:val="001C5373"/>
    <w:rsid w:val="001C64A6"/>
    <w:rsid w:val="001D0EDC"/>
    <w:rsid w:val="001D5D3D"/>
    <w:rsid w:val="001E0C5C"/>
    <w:rsid w:val="001F56EE"/>
    <w:rsid w:val="001F6AE2"/>
    <w:rsid w:val="0020247B"/>
    <w:rsid w:val="00204315"/>
    <w:rsid w:val="00211118"/>
    <w:rsid w:val="00215AFC"/>
    <w:rsid w:val="00231D93"/>
    <w:rsid w:val="00241CB8"/>
    <w:rsid w:val="00241D3A"/>
    <w:rsid w:val="002420AB"/>
    <w:rsid w:val="00242A4F"/>
    <w:rsid w:val="00257452"/>
    <w:rsid w:val="002574AA"/>
    <w:rsid w:val="002574CB"/>
    <w:rsid w:val="00257F36"/>
    <w:rsid w:val="0026425B"/>
    <w:rsid w:val="00266533"/>
    <w:rsid w:val="00272013"/>
    <w:rsid w:val="002723D7"/>
    <w:rsid w:val="00274C68"/>
    <w:rsid w:val="002873CE"/>
    <w:rsid w:val="00290077"/>
    <w:rsid w:val="002A6D25"/>
    <w:rsid w:val="002A6FAE"/>
    <w:rsid w:val="002A747A"/>
    <w:rsid w:val="002A7ED3"/>
    <w:rsid w:val="002D540E"/>
    <w:rsid w:val="002E576D"/>
    <w:rsid w:val="002F1CA6"/>
    <w:rsid w:val="002F42EE"/>
    <w:rsid w:val="002F76E6"/>
    <w:rsid w:val="003016DE"/>
    <w:rsid w:val="00311E8A"/>
    <w:rsid w:val="00312A82"/>
    <w:rsid w:val="00316D15"/>
    <w:rsid w:val="00326C73"/>
    <w:rsid w:val="003333E0"/>
    <w:rsid w:val="0033768E"/>
    <w:rsid w:val="003462B5"/>
    <w:rsid w:val="003528E5"/>
    <w:rsid w:val="00356A6D"/>
    <w:rsid w:val="0036216D"/>
    <w:rsid w:val="00362C71"/>
    <w:rsid w:val="00364CF3"/>
    <w:rsid w:val="003725C6"/>
    <w:rsid w:val="00373A4B"/>
    <w:rsid w:val="00380C1E"/>
    <w:rsid w:val="0038427D"/>
    <w:rsid w:val="00384317"/>
    <w:rsid w:val="003867CF"/>
    <w:rsid w:val="0039058A"/>
    <w:rsid w:val="00390D15"/>
    <w:rsid w:val="00393468"/>
    <w:rsid w:val="003964BB"/>
    <w:rsid w:val="003A00D6"/>
    <w:rsid w:val="003A0E51"/>
    <w:rsid w:val="003A41A0"/>
    <w:rsid w:val="003A475B"/>
    <w:rsid w:val="003A4957"/>
    <w:rsid w:val="003A78C7"/>
    <w:rsid w:val="003B1AFD"/>
    <w:rsid w:val="003B32C1"/>
    <w:rsid w:val="003C7A1D"/>
    <w:rsid w:val="003D616D"/>
    <w:rsid w:val="003D7F6A"/>
    <w:rsid w:val="003E624F"/>
    <w:rsid w:val="003E7EDF"/>
    <w:rsid w:val="003F6F54"/>
    <w:rsid w:val="004100D2"/>
    <w:rsid w:val="00415BAC"/>
    <w:rsid w:val="00420F27"/>
    <w:rsid w:val="00423702"/>
    <w:rsid w:val="00425484"/>
    <w:rsid w:val="004307C5"/>
    <w:rsid w:val="00433830"/>
    <w:rsid w:val="00437B55"/>
    <w:rsid w:val="00440527"/>
    <w:rsid w:val="0044190B"/>
    <w:rsid w:val="004420AB"/>
    <w:rsid w:val="00444ED8"/>
    <w:rsid w:val="004527CF"/>
    <w:rsid w:val="0045691E"/>
    <w:rsid w:val="00470CEB"/>
    <w:rsid w:val="0047187E"/>
    <w:rsid w:val="00475A16"/>
    <w:rsid w:val="00480058"/>
    <w:rsid w:val="004800D2"/>
    <w:rsid w:val="00480574"/>
    <w:rsid w:val="00481660"/>
    <w:rsid w:val="0049200E"/>
    <w:rsid w:val="004955AC"/>
    <w:rsid w:val="004A09B6"/>
    <w:rsid w:val="004A25AB"/>
    <w:rsid w:val="004B661D"/>
    <w:rsid w:val="004C067C"/>
    <w:rsid w:val="004C5FDF"/>
    <w:rsid w:val="004D735B"/>
    <w:rsid w:val="004D7F9E"/>
    <w:rsid w:val="004E3D79"/>
    <w:rsid w:val="004F0C55"/>
    <w:rsid w:val="00502BE2"/>
    <w:rsid w:val="00502DDD"/>
    <w:rsid w:val="00505051"/>
    <w:rsid w:val="00517630"/>
    <w:rsid w:val="00520AB2"/>
    <w:rsid w:val="00521806"/>
    <w:rsid w:val="0053059D"/>
    <w:rsid w:val="005369F7"/>
    <w:rsid w:val="00537877"/>
    <w:rsid w:val="00541A4C"/>
    <w:rsid w:val="00546859"/>
    <w:rsid w:val="00553BAD"/>
    <w:rsid w:val="005726DA"/>
    <w:rsid w:val="0057273B"/>
    <w:rsid w:val="005832CB"/>
    <w:rsid w:val="005879F5"/>
    <w:rsid w:val="00591A55"/>
    <w:rsid w:val="00593877"/>
    <w:rsid w:val="005A3B19"/>
    <w:rsid w:val="005B2C05"/>
    <w:rsid w:val="005C5439"/>
    <w:rsid w:val="005C66CE"/>
    <w:rsid w:val="005D3CBC"/>
    <w:rsid w:val="005D4A63"/>
    <w:rsid w:val="005D73CB"/>
    <w:rsid w:val="00613145"/>
    <w:rsid w:val="006178BD"/>
    <w:rsid w:val="00622BBB"/>
    <w:rsid w:val="006233AF"/>
    <w:rsid w:val="00624AE5"/>
    <w:rsid w:val="006271F3"/>
    <w:rsid w:val="00636202"/>
    <w:rsid w:val="006425C8"/>
    <w:rsid w:val="006441C5"/>
    <w:rsid w:val="00645E53"/>
    <w:rsid w:val="00647632"/>
    <w:rsid w:val="00655F16"/>
    <w:rsid w:val="0065716F"/>
    <w:rsid w:val="00662B14"/>
    <w:rsid w:val="0066398F"/>
    <w:rsid w:val="00663D3B"/>
    <w:rsid w:val="00666C88"/>
    <w:rsid w:val="00667C85"/>
    <w:rsid w:val="006732A0"/>
    <w:rsid w:val="00675667"/>
    <w:rsid w:val="00680152"/>
    <w:rsid w:val="00683385"/>
    <w:rsid w:val="006921DA"/>
    <w:rsid w:val="00692A9E"/>
    <w:rsid w:val="006A188B"/>
    <w:rsid w:val="006B032A"/>
    <w:rsid w:val="006B1C11"/>
    <w:rsid w:val="006B313F"/>
    <w:rsid w:val="006C06CC"/>
    <w:rsid w:val="006C2A7E"/>
    <w:rsid w:val="006C64C6"/>
    <w:rsid w:val="006D1CD2"/>
    <w:rsid w:val="006D1DFE"/>
    <w:rsid w:val="006D2FE1"/>
    <w:rsid w:val="006E3945"/>
    <w:rsid w:val="006F23C4"/>
    <w:rsid w:val="006F33C1"/>
    <w:rsid w:val="007009FE"/>
    <w:rsid w:val="00706385"/>
    <w:rsid w:val="007158B5"/>
    <w:rsid w:val="00716F76"/>
    <w:rsid w:val="007276FE"/>
    <w:rsid w:val="007279CE"/>
    <w:rsid w:val="007335EF"/>
    <w:rsid w:val="00742481"/>
    <w:rsid w:val="00747AFD"/>
    <w:rsid w:val="00753C2E"/>
    <w:rsid w:val="00754108"/>
    <w:rsid w:val="00763C6D"/>
    <w:rsid w:val="00766713"/>
    <w:rsid w:val="00766DD2"/>
    <w:rsid w:val="0078096D"/>
    <w:rsid w:val="0078795C"/>
    <w:rsid w:val="00792442"/>
    <w:rsid w:val="0079299C"/>
    <w:rsid w:val="00792E7B"/>
    <w:rsid w:val="00793CEC"/>
    <w:rsid w:val="00794C7D"/>
    <w:rsid w:val="0079748D"/>
    <w:rsid w:val="007A3E38"/>
    <w:rsid w:val="007B1651"/>
    <w:rsid w:val="007B3A65"/>
    <w:rsid w:val="007B4F27"/>
    <w:rsid w:val="007C13DB"/>
    <w:rsid w:val="007C5F1D"/>
    <w:rsid w:val="007D0247"/>
    <w:rsid w:val="007D4B36"/>
    <w:rsid w:val="007D4FC3"/>
    <w:rsid w:val="007D7BD7"/>
    <w:rsid w:val="007E01B2"/>
    <w:rsid w:val="007E1142"/>
    <w:rsid w:val="007E5DD5"/>
    <w:rsid w:val="007F4190"/>
    <w:rsid w:val="007F47F5"/>
    <w:rsid w:val="007F73DF"/>
    <w:rsid w:val="007F7AED"/>
    <w:rsid w:val="008014DE"/>
    <w:rsid w:val="00801732"/>
    <w:rsid w:val="0080287E"/>
    <w:rsid w:val="00804A2E"/>
    <w:rsid w:val="00805A62"/>
    <w:rsid w:val="008139AF"/>
    <w:rsid w:val="00821912"/>
    <w:rsid w:val="008223A7"/>
    <w:rsid w:val="00823007"/>
    <w:rsid w:val="008263F0"/>
    <w:rsid w:val="00831589"/>
    <w:rsid w:val="00836F7D"/>
    <w:rsid w:val="008448AD"/>
    <w:rsid w:val="00853DF7"/>
    <w:rsid w:val="008555C6"/>
    <w:rsid w:val="008651DB"/>
    <w:rsid w:val="008672E3"/>
    <w:rsid w:val="00870AEE"/>
    <w:rsid w:val="008731CA"/>
    <w:rsid w:val="00873644"/>
    <w:rsid w:val="00874296"/>
    <w:rsid w:val="008828F5"/>
    <w:rsid w:val="008864E2"/>
    <w:rsid w:val="00886E53"/>
    <w:rsid w:val="008879A8"/>
    <w:rsid w:val="00890089"/>
    <w:rsid w:val="00894225"/>
    <w:rsid w:val="008A7618"/>
    <w:rsid w:val="008B4402"/>
    <w:rsid w:val="008C786C"/>
    <w:rsid w:val="008E035D"/>
    <w:rsid w:val="008F22BD"/>
    <w:rsid w:val="009005F8"/>
    <w:rsid w:val="0090697F"/>
    <w:rsid w:val="00906C0D"/>
    <w:rsid w:val="00910D26"/>
    <w:rsid w:val="00914622"/>
    <w:rsid w:val="00915801"/>
    <w:rsid w:val="009433D4"/>
    <w:rsid w:val="009471CD"/>
    <w:rsid w:val="00950A5A"/>
    <w:rsid w:val="00952A07"/>
    <w:rsid w:val="009560EE"/>
    <w:rsid w:val="00957B47"/>
    <w:rsid w:val="009615CF"/>
    <w:rsid w:val="00965F94"/>
    <w:rsid w:val="009662AA"/>
    <w:rsid w:val="00967CC3"/>
    <w:rsid w:val="009706A3"/>
    <w:rsid w:val="00973936"/>
    <w:rsid w:val="00986132"/>
    <w:rsid w:val="00986C40"/>
    <w:rsid w:val="009979A6"/>
    <w:rsid w:val="009A35AA"/>
    <w:rsid w:val="009B18A6"/>
    <w:rsid w:val="009C2B01"/>
    <w:rsid w:val="009C40C5"/>
    <w:rsid w:val="009D3608"/>
    <w:rsid w:val="009D7625"/>
    <w:rsid w:val="009E1BD3"/>
    <w:rsid w:val="009E6328"/>
    <w:rsid w:val="00A00EF3"/>
    <w:rsid w:val="00A0331A"/>
    <w:rsid w:val="00A14EED"/>
    <w:rsid w:val="00A16362"/>
    <w:rsid w:val="00A43C9B"/>
    <w:rsid w:val="00A45E54"/>
    <w:rsid w:val="00A5253D"/>
    <w:rsid w:val="00A6356B"/>
    <w:rsid w:val="00A65F5E"/>
    <w:rsid w:val="00A67C23"/>
    <w:rsid w:val="00A70A64"/>
    <w:rsid w:val="00A749E2"/>
    <w:rsid w:val="00A74FA1"/>
    <w:rsid w:val="00A82A9F"/>
    <w:rsid w:val="00A951AB"/>
    <w:rsid w:val="00AB3545"/>
    <w:rsid w:val="00AB37A8"/>
    <w:rsid w:val="00AB53FB"/>
    <w:rsid w:val="00AB5573"/>
    <w:rsid w:val="00AB7D49"/>
    <w:rsid w:val="00AC00B6"/>
    <w:rsid w:val="00AC3850"/>
    <w:rsid w:val="00AC4B86"/>
    <w:rsid w:val="00AC4B9E"/>
    <w:rsid w:val="00AC6D15"/>
    <w:rsid w:val="00AD4A37"/>
    <w:rsid w:val="00AD4F79"/>
    <w:rsid w:val="00AD72FF"/>
    <w:rsid w:val="00AD7CA3"/>
    <w:rsid w:val="00AE229E"/>
    <w:rsid w:val="00AE4E48"/>
    <w:rsid w:val="00AE7643"/>
    <w:rsid w:val="00AF1275"/>
    <w:rsid w:val="00AF76C4"/>
    <w:rsid w:val="00B1451D"/>
    <w:rsid w:val="00B145A3"/>
    <w:rsid w:val="00B14F7F"/>
    <w:rsid w:val="00B2111F"/>
    <w:rsid w:val="00B27575"/>
    <w:rsid w:val="00B373BE"/>
    <w:rsid w:val="00B414CB"/>
    <w:rsid w:val="00B42ED8"/>
    <w:rsid w:val="00B50496"/>
    <w:rsid w:val="00B54F62"/>
    <w:rsid w:val="00B714AF"/>
    <w:rsid w:val="00B74E1E"/>
    <w:rsid w:val="00B81621"/>
    <w:rsid w:val="00B816A9"/>
    <w:rsid w:val="00B822F5"/>
    <w:rsid w:val="00B94B25"/>
    <w:rsid w:val="00BA3458"/>
    <w:rsid w:val="00BC24A8"/>
    <w:rsid w:val="00BC7C2B"/>
    <w:rsid w:val="00BC7C72"/>
    <w:rsid w:val="00BD4CA3"/>
    <w:rsid w:val="00BE1A83"/>
    <w:rsid w:val="00BE4828"/>
    <w:rsid w:val="00BF4780"/>
    <w:rsid w:val="00BF4F9D"/>
    <w:rsid w:val="00BF543C"/>
    <w:rsid w:val="00C00354"/>
    <w:rsid w:val="00C03DE1"/>
    <w:rsid w:val="00C23BFE"/>
    <w:rsid w:val="00C33365"/>
    <w:rsid w:val="00C36BCB"/>
    <w:rsid w:val="00C407EA"/>
    <w:rsid w:val="00C40D58"/>
    <w:rsid w:val="00C418A4"/>
    <w:rsid w:val="00C44036"/>
    <w:rsid w:val="00C474F3"/>
    <w:rsid w:val="00C52E7A"/>
    <w:rsid w:val="00C57BA1"/>
    <w:rsid w:val="00C634A7"/>
    <w:rsid w:val="00C6550D"/>
    <w:rsid w:val="00C760C8"/>
    <w:rsid w:val="00C849C8"/>
    <w:rsid w:val="00C850E0"/>
    <w:rsid w:val="00C91ADF"/>
    <w:rsid w:val="00C93B45"/>
    <w:rsid w:val="00C94A73"/>
    <w:rsid w:val="00C955E4"/>
    <w:rsid w:val="00C95CBA"/>
    <w:rsid w:val="00CA7CD3"/>
    <w:rsid w:val="00CB73C0"/>
    <w:rsid w:val="00CB744B"/>
    <w:rsid w:val="00CC152D"/>
    <w:rsid w:val="00CC3DCA"/>
    <w:rsid w:val="00CD46CB"/>
    <w:rsid w:val="00CD4A21"/>
    <w:rsid w:val="00CD79A5"/>
    <w:rsid w:val="00CD7C34"/>
    <w:rsid w:val="00CE36CF"/>
    <w:rsid w:val="00CE4AFE"/>
    <w:rsid w:val="00CE736E"/>
    <w:rsid w:val="00CF13E1"/>
    <w:rsid w:val="00CF2027"/>
    <w:rsid w:val="00D00B74"/>
    <w:rsid w:val="00D117C4"/>
    <w:rsid w:val="00D13015"/>
    <w:rsid w:val="00D13C0F"/>
    <w:rsid w:val="00D306F5"/>
    <w:rsid w:val="00D32B9E"/>
    <w:rsid w:val="00D335D2"/>
    <w:rsid w:val="00D34063"/>
    <w:rsid w:val="00D406CE"/>
    <w:rsid w:val="00D54C5E"/>
    <w:rsid w:val="00D616EB"/>
    <w:rsid w:val="00D62743"/>
    <w:rsid w:val="00D62BCA"/>
    <w:rsid w:val="00D64A83"/>
    <w:rsid w:val="00D65BFC"/>
    <w:rsid w:val="00D727A5"/>
    <w:rsid w:val="00D801A5"/>
    <w:rsid w:val="00D80C8B"/>
    <w:rsid w:val="00D83452"/>
    <w:rsid w:val="00D8380B"/>
    <w:rsid w:val="00D83C4C"/>
    <w:rsid w:val="00D9028D"/>
    <w:rsid w:val="00D92396"/>
    <w:rsid w:val="00D92A43"/>
    <w:rsid w:val="00D97A4C"/>
    <w:rsid w:val="00DA6E5A"/>
    <w:rsid w:val="00DA79E6"/>
    <w:rsid w:val="00DD3B17"/>
    <w:rsid w:val="00DD6192"/>
    <w:rsid w:val="00DE2251"/>
    <w:rsid w:val="00DE72B1"/>
    <w:rsid w:val="00E12E9E"/>
    <w:rsid w:val="00E156B9"/>
    <w:rsid w:val="00E16224"/>
    <w:rsid w:val="00E179CB"/>
    <w:rsid w:val="00E25045"/>
    <w:rsid w:val="00E25AC0"/>
    <w:rsid w:val="00E35A65"/>
    <w:rsid w:val="00E35ADB"/>
    <w:rsid w:val="00E4053F"/>
    <w:rsid w:val="00E42BC9"/>
    <w:rsid w:val="00E52761"/>
    <w:rsid w:val="00E54FFF"/>
    <w:rsid w:val="00E57333"/>
    <w:rsid w:val="00E606C8"/>
    <w:rsid w:val="00E62B20"/>
    <w:rsid w:val="00E87824"/>
    <w:rsid w:val="00E87A17"/>
    <w:rsid w:val="00E902F3"/>
    <w:rsid w:val="00EA2E64"/>
    <w:rsid w:val="00EB4E58"/>
    <w:rsid w:val="00EC7286"/>
    <w:rsid w:val="00ED2F21"/>
    <w:rsid w:val="00ED3C87"/>
    <w:rsid w:val="00EE3904"/>
    <w:rsid w:val="00EF012D"/>
    <w:rsid w:val="00EF400A"/>
    <w:rsid w:val="00F00050"/>
    <w:rsid w:val="00F04275"/>
    <w:rsid w:val="00F051BE"/>
    <w:rsid w:val="00F058E8"/>
    <w:rsid w:val="00F06071"/>
    <w:rsid w:val="00F07015"/>
    <w:rsid w:val="00F1333E"/>
    <w:rsid w:val="00F20341"/>
    <w:rsid w:val="00F20568"/>
    <w:rsid w:val="00F2421C"/>
    <w:rsid w:val="00F26DBA"/>
    <w:rsid w:val="00F3010E"/>
    <w:rsid w:val="00F305D6"/>
    <w:rsid w:val="00F36389"/>
    <w:rsid w:val="00F410FF"/>
    <w:rsid w:val="00F453D2"/>
    <w:rsid w:val="00F4718F"/>
    <w:rsid w:val="00F504E2"/>
    <w:rsid w:val="00F51337"/>
    <w:rsid w:val="00F635AA"/>
    <w:rsid w:val="00F70520"/>
    <w:rsid w:val="00F7319E"/>
    <w:rsid w:val="00F8539E"/>
    <w:rsid w:val="00F904E1"/>
    <w:rsid w:val="00FA4B17"/>
    <w:rsid w:val="00FA5746"/>
    <w:rsid w:val="00FA667C"/>
    <w:rsid w:val="00FA7ABE"/>
    <w:rsid w:val="00FB7E83"/>
    <w:rsid w:val="00FC5030"/>
    <w:rsid w:val="00FC65B7"/>
    <w:rsid w:val="00FD0A03"/>
    <w:rsid w:val="00FD28F4"/>
    <w:rsid w:val="00FD522B"/>
    <w:rsid w:val="00FD5BB4"/>
    <w:rsid w:val="00FE2589"/>
    <w:rsid w:val="00FE4E3B"/>
    <w:rsid w:val="00FE5757"/>
    <w:rsid w:val="00FE78F6"/>
    <w:rsid w:val="00FF03C3"/>
    <w:rsid w:val="00FF06C3"/>
    <w:rsid w:val="010B26F0"/>
    <w:rsid w:val="01119A17"/>
    <w:rsid w:val="0113CBAB"/>
    <w:rsid w:val="018BDEAB"/>
    <w:rsid w:val="01FF8A64"/>
    <w:rsid w:val="023A4299"/>
    <w:rsid w:val="02A7ECEA"/>
    <w:rsid w:val="03811B27"/>
    <w:rsid w:val="038908AD"/>
    <w:rsid w:val="039C3CB4"/>
    <w:rsid w:val="039ED9B4"/>
    <w:rsid w:val="03B968BC"/>
    <w:rsid w:val="046DF9E2"/>
    <w:rsid w:val="0505E85E"/>
    <w:rsid w:val="05155CAA"/>
    <w:rsid w:val="053613E5"/>
    <w:rsid w:val="056D5E8B"/>
    <w:rsid w:val="059018D1"/>
    <w:rsid w:val="05D7F324"/>
    <w:rsid w:val="062CECEF"/>
    <w:rsid w:val="06356308"/>
    <w:rsid w:val="073A9376"/>
    <w:rsid w:val="077B5E0D"/>
    <w:rsid w:val="0892E42E"/>
    <w:rsid w:val="08D2C364"/>
    <w:rsid w:val="09E51045"/>
    <w:rsid w:val="0A384D1B"/>
    <w:rsid w:val="0A3B20A9"/>
    <w:rsid w:val="0AB341C8"/>
    <w:rsid w:val="0B87D5E1"/>
    <w:rsid w:val="0C16818F"/>
    <w:rsid w:val="0CDBED29"/>
    <w:rsid w:val="0D4FFA94"/>
    <w:rsid w:val="0D5A3086"/>
    <w:rsid w:val="0E562F7B"/>
    <w:rsid w:val="0E9F590B"/>
    <w:rsid w:val="0EF600E7"/>
    <w:rsid w:val="0F841162"/>
    <w:rsid w:val="0FDA0B4B"/>
    <w:rsid w:val="105451C9"/>
    <w:rsid w:val="108331F5"/>
    <w:rsid w:val="1098AC5D"/>
    <w:rsid w:val="11434ED0"/>
    <w:rsid w:val="1199B8D7"/>
    <w:rsid w:val="11DA27D2"/>
    <w:rsid w:val="12799C56"/>
    <w:rsid w:val="1280A1A9"/>
    <w:rsid w:val="131F9F19"/>
    <w:rsid w:val="132ABB25"/>
    <w:rsid w:val="136BE244"/>
    <w:rsid w:val="1372CA2E"/>
    <w:rsid w:val="140706DC"/>
    <w:rsid w:val="14B68E7F"/>
    <w:rsid w:val="1537AB16"/>
    <w:rsid w:val="1674B1DE"/>
    <w:rsid w:val="1691EFF8"/>
    <w:rsid w:val="1724014A"/>
    <w:rsid w:val="17518316"/>
    <w:rsid w:val="1778597A"/>
    <w:rsid w:val="17A9E534"/>
    <w:rsid w:val="180008CE"/>
    <w:rsid w:val="1806CF38"/>
    <w:rsid w:val="186C1C6D"/>
    <w:rsid w:val="1882E90D"/>
    <w:rsid w:val="18C1F1C9"/>
    <w:rsid w:val="191CA011"/>
    <w:rsid w:val="19720F7F"/>
    <w:rsid w:val="198EE322"/>
    <w:rsid w:val="1A3C2FCE"/>
    <w:rsid w:val="1AE35549"/>
    <w:rsid w:val="1AE9C8FC"/>
    <w:rsid w:val="1B149826"/>
    <w:rsid w:val="1B6D70B1"/>
    <w:rsid w:val="1BB3CD3C"/>
    <w:rsid w:val="1C48CEB6"/>
    <w:rsid w:val="1D35B4C5"/>
    <w:rsid w:val="1D6AFB06"/>
    <w:rsid w:val="1E42396C"/>
    <w:rsid w:val="1ECF3026"/>
    <w:rsid w:val="1EFF0453"/>
    <w:rsid w:val="20336653"/>
    <w:rsid w:val="204E3D54"/>
    <w:rsid w:val="21103B1E"/>
    <w:rsid w:val="214D5BDA"/>
    <w:rsid w:val="223CE679"/>
    <w:rsid w:val="22AF651A"/>
    <w:rsid w:val="23B55041"/>
    <w:rsid w:val="248FEAD7"/>
    <w:rsid w:val="24FC7B9C"/>
    <w:rsid w:val="255C77A8"/>
    <w:rsid w:val="25C1D8EC"/>
    <w:rsid w:val="260CCA88"/>
    <w:rsid w:val="262BBB38"/>
    <w:rsid w:val="268F8E14"/>
    <w:rsid w:val="28E7BAB0"/>
    <w:rsid w:val="29946940"/>
    <w:rsid w:val="29D72E2C"/>
    <w:rsid w:val="2A04E83B"/>
    <w:rsid w:val="2A9EE2FB"/>
    <w:rsid w:val="2AF73ED5"/>
    <w:rsid w:val="2B19A152"/>
    <w:rsid w:val="2B691C5D"/>
    <w:rsid w:val="2B6A6C1E"/>
    <w:rsid w:val="2B74E1CF"/>
    <w:rsid w:val="2BBB01F4"/>
    <w:rsid w:val="2C1A6712"/>
    <w:rsid w:val="2C7D800E"/>
    <w:rsid w:val="2CE2A015"/>
    <w:rsid w:val="2CF06E9F"/>
    <w:rsid w:val="2D56A6A2"/>
    <w:rsid w:val="2DFD87FB"/>
    <w:rsid w:val="2E0E9F90"/>
    <w:rsid w:val="2E1FC9F3"/>
    <w:rsid w:val="2E899C75"/>
    <w:rsid w:val="2F407174"/>
    <w:rsid w:val="309CEEC4"/>
    <w:rsid w:val="30BE72EB"/>
    <w:rsid w:val="30FC0594"/>
    <w:rsid w:val="31576AB5"/>
    <w:rsid w:val="31707E24"/>
    <w:rsid w:val="31DF584F"/>
    <w:rsid w:val="32F115E3"/>
    <w:rsid w:val="3359926F"/>
    <w:rsid w:val="339104F0"/>
    <w:rsid w:val="3455E545"/>
    <w:rsid w:val="3463B200"/>
    <w:rsid w:val="34667033"/>
    <w:rsid w:val="35840657"/>
    <w:rsid w:val="3589F0AC"/>
    <w:rsid w:val="36616812"/>
    <w:rsid w:val="36B1A864"/>
    <w:rsid w:val="371C7998"/>
    <w:rsid w:val="37C48706"/>
    <w:rsid w:val="37EDF803"/>
    <w:rsid w:val="3827F18F"/>
    <w:rsid w:val="38A523DD"/>
    <w:rsid w:val="38BCCB3E"/>
    <w:rsid w:val="38DB9138"/>
    <w:rsid w:val="391B7DBD"/>
    <w:rsid w:val="394C5777"/>
    <w:rsid w:val="39ABB2DD"/>
    <w:rsid w:val="3A00E9BB"/>
    <w:rsid w:val="3AE9BD35"/>
    <w:rsid w:val="3AEECEB9"/>
    <w:rsid w:val="3B9A833E"/>
    <w:rsid w:val="3C091318"/>
    <w:rsid w:val="3C83DD7C"/>
    <w:rsid w:val="3CB6C441"/>
    <w:rsid w:val="3CEB0F54"/>
    <w:rsid w:val="3CF9D684"/>
    <w:rsid w:val="3D0B2572"/>
    <w:rsid w:val="3D16D24E"/>
    <w:rsid w:val="3D621119"/>
    <w:rsid w:val="3D696FB4"/>
    <w:rsid w:val="3ED22400"/>
    <w:rsid w:val="3F0A158C"/>
    <w:rsid w:val="3FABE51F"/>
    <w:rsid w:val="404B0163"/>
    <w:rsid w:val="40BFC476"/>
    <w:rsid w:val="40DC843B"/>
    <w:rsid w:val="40F020B3"/>
    <w:rsid w:val="40FBCABB"/>
    <w:rsid w:val="41332E64"/>
    <w:rsid w:val="415851DB"/>
    <w:rsid w:val="417356D2"/>
    <w:rsid w:val="41892D6D"/>
    <w:rsid w:val="41AF314B"/>
    <w:rsid w:val="427A2549"/>
    <w:rsid w:val="428E9189"/>
    <w:rsid w:val="42E06135"/>
    <w:rsid w:val="43055550"/>
    <w:rsid w:val="43606CE8"/>
    <w:rsid w:val="438570C7"/>
    <w:rsid w:val="438CC129"/>
    <w:rsid w:val="43A82AD6"/>
    <w:rsid w:val="43D75752"/>
    <w:rsid w:val="4497BDA8"/>
    <w:rsid w:val="44DD6E35"/>
    <w:rsid w:val="44F41B76"/>
    <w:rsid w:val="454DC231"/>
    <w:rsid w:val="45609855"/>
    <w:rsid w:val="457FC9D7"/>
    <w:rsid w:val="45839315"/>
    <w:rsid w:val="45E5A5F2"/>
    <w:rsid w:val="463EDA6F"/>
    <w:rsid w:val="4689C983"/>
    <w:rsid w:val="468E0435"/>
    <w:rsid w:val="46F693D9"/>
    <w:rsid w:val="47AEDC3E"/>
    <w:rsid w:val="47BBFB81"/>
    <w:rsid w:val="48037F29"/>
    <w:rsid w:val="482D5B59"/>
    <w:rsid w:val="48AD345D"/>
    <w:rsid w:val="4AE5B535"/>
    <w:rsid w:val="4B16E756"/>
    <w:rsid w:val="4B348F6A"/>
    <w:rsid w:val="4C53EE1E"/>
    <w:rsid w:val="4CE2CE4E"/>
    <w:rsid w:val="4D8ADBBC"/>
    <w:rsid w:val="4E150C2F"/>
    <w:rsid w:val="4E2C11AF"/>
    <w:rsid w:val="4E323AA0"/>
    <w:rsid w:val="4E8CB98B"/>
    <w:rsid w:val="4EF4FA7B"/>
    <w:rsid w:val="4F4EE442"/>
    <w:rsid w:val="4F82E982"/>
    <w:rsid w:val="4FD72FDF"/>
    <w:rsid w:val="505626C7"/>
    <w:rsid w:val="511FA854"/>
    <w:rsid w:val="515B77A4"/>
    <w:rsid w:val="51867FA0"/>
    <w:rsid w:val="518AA891"/>
    <w:rsid w:val="51B41A3E"/>
    <w:rsid w:val="51BD61B3"/>
    <w:rsid w:val="5210C775"/>
    <w:rsid w:val="52380279"/>
    <w:rsid w:val="525B7629"/>
    <w:rsid w:val="525E4CDF"/>
    <w:rsid w:val="52E5A1B2"/>
    <w:rsid w:val="543E3004"/>
    <w:rsid w:val="544D5137"/>
    <w:rsid w:val="5483F1F9"/>
    <w:rsid w:val="54948260"/>
    <w:rsid w:val="54B2070A"/>
    <w:rsid w:val="55177121"/>
    <w:rsid w:val="56192BC0"/>
    <w:rsid w:val="5737A18B"/>
    <w:rsid w:val="5762D73F"/>
    <w:rsid w:val="57BBEE75"/>
    <w:rsid w:val="58C01CCA"/>
    <w:rsid w:val="58E62683"/>
    <w:rsid w:val="594C9141"/>
    <w:rsid w:val="59948C81"/>
    <w:rsid w:val="59F9E4DE"/>
    <w:rsid w:val="5A06E599"/>
    <w:rsid w:val="5A3B241E"/>
    <w:rsid w:val="5A507AA7"/>
    <w:rsid w:val="5A7E1700"/>
    <w:rsid w:val="5A939168"/>
    <w:rsid w:val="5ADA66DA"/>
    <w:rsid w:val="5B5AFC84"/>
    <w:rsid w:val="5C0FE037"/>
    <w:rsid w:val="5C390685"/>
    <w:rsid w:val="5CB1DF2E"/>
    <w:rsid w:val="5CD04015"/>
    <w:rsid w:val="5CDFC9BB"/>
    <w:rsid w:val="5CF6CCE5"/>
    <w:rsid w:val="5D8FC4AF"/>
    <w:rsid w:val="5E3253E6"/>
    <w:rsid w:val="5E8D5A26"/>
    <w:rsid w:val="5E94C279"/>
    <w:rsid w:val="5F603989"/>
    <w:rsid w:val="5FAD3FD5"/>
    <w:rsid w:val="5FCE2447"/>
    <w:rsid w:val="6019870D"/>
    <w:rsid w:val="604BCD21"/>
    <w:rsid w:val="60524228"/>
    <w:rsid w:val="60821B4A"/>
    <w:rsid w:val="615BAE2E"/>
    <w:rsid w:val="61CEFEC0"/>
    <w:rsid w:val="620E4370"/>
    <w:rsid w:val="624DD6B3"/>
    <w:rsid w:val="6276769B"/>
    <w:rsid w:val="6385A12B"/>
    <w:rsid w:val="63D9DD51"/>
    <w:rsid w:val="6402CF71"/>
    <w:rsid w:val="647E85E9"/>
    <w:rsid w:val="648E56C2"/>
    <w:rsid w:val="64B8A428"/>
    <w:rsid w:val="651FA2EB"/>
    <w:rsid w:val="65E30620"/>
    <w:rsid w:val="6678B01F"/>
    <w:rsid w:val="66C59894"/>
    <w:rsid w:val="66E0E46E"/>
    <w:rsid w:val="66FBC146"/>
    <w:rsid w:val="680A0FF7"/>
    <w:rsid w:val="681511A0"/>
    <w:rsid w:val="68227C62"/>
    <w:rsid w:val="687CB4CF"/>
    <w:rsid w:val="68D5FEC0"/>
    <w:rsid w:val="69126F0B"/>
    <w:rsid w:val="6965B95C"/>
    <w:rsid w:val="6A25BAFD"/>
    <w:rsid w:val="6A7B4D75"/>
    <w:rsid w:val="6D433274"/>
    <w:rsid w:val="6DBCEBA3"/>
    <w:rsid w:val="6DCEEB66"/>
    <w:rsid w:val="6E0C3FD2"/>
    <w:rsid w:val="6E39130C"/>
    <w:rsid w:val="6ECF05A7"/>
    <w:rsid w:val="6EF3B916"/>
    <w:rsid w:val="6EFCA089"/>
    <w:rsid w:val="6F37A9F2"/>
    <w:rsid w:val="6F58BC04"/>
    <w:rsid w:val="6F64C600"/>
    <w:rsid w:val="6FD5A48D"/>
    <w:rsid w:val="7006FB28"/>
    <w:rsid w:val="70537A8E"/>
    <w:rsid w:val="707ADD6B"/>
    <w:rsid w:val="7114AD3C"/>
    <w:rsid w:val="712F11AB"/>
    <w:rsid w:val="7167B9AE"/>
    <w:rsid w:val="71DD31A1"/>
    <w:rsid w:val="721C0213"/>
    <w:rsid w:val="72223E83"/>
    <w:rsid w:val="726BF826"/>
    <w:rsid w:val="72DFB0F5"/>
    <w:rsid w:val="73955B1C"/>
    <w:rsid w:val="750AABB1"/>
    <w:rsid w:val="75100F32"/>
    <w:rsid w:val="76EFA792"/>
    <w:rsid w:val="7704EA79"/>
    <w:rsid w:val="771F63E1"/>
    <w:rsid w:val="774515D2"/>
    <w:rsid w:val="778DDACF"/>
    <w:rsid w:val="77B68DB5"/>
    <w:rsid w:val="77FC9408"/>
    <w:rsid w:val="78451370"/>
    <w:rsid w:val="78756ECA"/>
    <w:rsid w:val="78A57075"/>
    <w:rsid w:val="79763F71"/>
    <w:rsid w:val="79C6FEF4"/>
    <w:rsid w:val="7A591305"/>
    <w:rsid w:val="7A8F6020"/>
    <w:rsid w:val="7AAF0B23"/>
    <w:rsid w:val="7B44E872"/>
    <w:rsid w:val="7B79D0AD"/>
    <w:rsid w:val="7BA19D6F"/>
    <w:rsid w:val="7BA2CE16"/>
    <w:rsid w:val="7BDD1137"/>
    <w:rsid w:val="7CBFEA62"/>
    <w:rsid w:val="7D17514B"/>
    <w:rsid w:val="7D267343"/>
    <w:rsid w:val="7D90B3C7"/>
    <w:rsid w:val="7DC9CD38"/>
    <w:rsid w:val="7E4999F2"/>
    <w:rsid w:val="7E707BBB"/>
    <w:rsid w:val="7ECA11AB"/>
    <w:rsid w:val="7F4A6B0B"/>
    <w:rsid w:val="7F4AC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normaltextrun">
    <w:name w:val="normaltextrun"/>
    <w:basedOn w:val="DefaultParagraphFont"/>
    <w:rsid w:val="00AC00B6"/>
  </w:style>
  <w:style w:type="character" w:customStyle="1" w:styleId="eop">
    <w:name w:val="eop"/>
    <w:basedOn w:val="DefaultParagraphFont"/>
    <w:rsid w:val="00AC00B6"/>
  </w:style>
  <w:style w:type="paragraph" w:customStyle="1" w:styleId="paragraph">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customStyle="1" w:styleId="CommentTextChar">
    <w:name w:val="Comment Text Char"/>
    <w:basedOn w:val="DefaultParagraphFont"/>
    <w:link w:val="CommentText"/>
    <w:uiPriority w:val="99"/>
    <w:semiHidden/>
    <w:rsid w:val="00AC00B6"/>
    <w:rPr>
      <w:rFonts w:ascii="Times New Roman" w:eastAsia="Times New Roman" w:hAnsi="Times New Roman" w:cs="Times New Roman"/>
      <w:sz w:val="20"/>
      <w:szCs w:val="20"/>
    </w:rPr>
  </w:style>
  <w:style w:type="paragraph" w:customStyle="1" w:styleId="Default">
    <w:name w:val="Default"/>
    <w:rsid w:val="00FA7ABE"/>
    <w:pPr>
      <w:autoSpaceDE w:val="0"/>
      <w:autoSpaceDN w:val="0"/>
      <w:adjustRightInd w:val="0"/>
      <w:spacing w:after="0" w:line="240" w:lineRule="auto"/>
    </w:pPr>
    <w:rPr>
      <w:rFonts w:ascii="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47187E"/>
    <w:rPr>
      <w:b/>
      <w:bCs/>
    </w:rPr>
  </w:style>
  <w:style w:type="character" w:customStyle="1" w:styleId="CommentSubjectChar">
    <w:name w:val="Comment Subject Char"/>
    <w:basedOn w:val="CommentTextChar"/>
    <w:link w:val="CommentSubject"/>
    <w:uiPriority w:val="99"/>
    <w:semiHidden/>
    <w:rsid w:val="0047187E"/>
    <w:rPr>
      <w:rFonts w:ascii="Times New Roman" w:eastAsia="Times New Roman" w:hAnsi="Times New Roman" w:cs="Times New Roman"/>
      <w:b/>
      <w:bCs/>
      <w:sz w:val="20"/>
      <w:szCs w:val="20"/>
    </w:rPr>
  </w:style>
  <w:style w:type="paragraph" w:styleId="Revision">
    <w:name w:val="Revision"/>
    <w:hidden/>
    <w:uiPriority w:val="99"/>
    <w:semiHidden/>
    <w:rsid w:val="001C64A6"/>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B3A65"/>
  </w:style>
  <w:style w:type="paragraph" w:styleId="NormalWeb">
    <w:name w:val="Normal (Web)"/>
    <w:basedOn w:val="Normal"/>
    <w:uiPriority w:val="99"/>
    <w:semiHidden/>
    <w:unhideWhenUsed/>
    <w:rsid w:val="006178B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191190574">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913461">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063985">
      <w:bodyDiv w:val="1"/>
      <w:marLeft w:val="0"/>
      <w:marRight w:val="0"/>
      <w:marTop w:val="0"/>
      <w:marBottom w:val="0"/>
      <w:divBdr>
        <w:top w:val="none" w:sz="0" w:space="0" w:color="auto"/>
        <w:left w:val="none" w:sz="0" w:space="0" w:color="auto"/>
        <w:bottom w:val="none" w:sz="0" w:space="0" w:color="auto"/>
        <w:right w:val="none" w:sz="0" w:space="0" w:color="auto"/>
      </w:divBdr>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powerbi.com/view?r=eyJrIjoiOWQ0NDc2M2YtZDUyMi00MjdkLTljZTktOWI3MzQyYzdlNDc0IiwidCI6ImVlYTE2YTE2LTQ4YWYtNDc3Yi05MTEzLTA1YjFjMDExMjNmZiIsImMiOjZ9" TargetMode="External"/><Relationship Id="rId18"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6" Type="http://schemas.openxmlformats.org/officeDocument/2006/relationships/hyperlink" Target="https://www.cccco.edu/About-Us/Chancellors-Office/Divisions/College-Finance-and-Facilities-Planning/Student-Centered-Funding-Formula" TargetMode="External"/><Relationship Id="rId39" Type="http://schemas.openxmlformats.org/officeDocument/2006/relationships/fontTable" Target="fontTable.xml"/><Relationship Id="rId21" Type="http://schemas.microsoft.com/office/2016/09/relationships/commentsIds" Target="commentsIds.xml"/><Relationship Id="rId34" Type="http://schemas.openxmlformats.org/officeDocument/2006/relationships/hyperlink" Target="https://www.cccco.edu/About-Us/Chancellors-Office/Divisions/College-Finance-and-Facilities-Planning/Student-Centered-Funding-Formula"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cccco.edu/-/media/CCCCO-Website/Files/Communications/101920-ccc-vision-onepager-accessible-final.pdf" TargetMode="External"/><Relationship Id="rId20" Type="http://schemas.microsoft.com/office/2011/relationships/commentsExtended" Target="commentsExtended.xml"/><Relationship Id="rId29" Type="http://schemas.openxmlformats.org/officeDocument/2006/relationships/hyperlink" Target="https://drive.google.com/file/d/1CelN9o5mrlTVVx3ibqDDdj11PcATAjfM/view?usp=sharin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ccco.edu/About-Us/Chancellors-Office/Divisions/College-Finance-and-Facilities-Planning/Student-Centered-Funding-Formula" TargetMode="External"/><Relationship Id="rId24" Type="http://schemas.openxmlformats.org/officeDocument/2006/relationships/hyperlink" Target="http://www.jstor.org/stable/44245373" TargetMode="External"/><Relationship Id="rId32" Type="http://schemas.openxmlformats.org/officeDocument/2006/relationships/hyperlink" Target="https://app.powerbi.com/view?r=eyJrIjoiZmJlODJiODktZjM0OC00ZWIwLWIzNDMtN2Y1Yzc3ZGFhNGRhIiwidCI6ImVlYTE2YTE2LTQ4YWYtNDc3Yi05MTEzLTA1YjFjMDExMjNmZiIsImMiOjZ9" TargetMode="External"/><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drive.google.com/drive/folders/1NcFLqqL0DhYtaKQ6ntaejh1z7qtGao1F?usp=sharing" TargetMode="External"/><Relationship Id="rId23" Type="http://schemas.openxmlformats.org/officeDocument/2006/relationships/hyperlink" Target="mailto:psayavong@peralta.edu?subject=Program%20Review%20Data%20Dashboard%20Assistance" TargetMode="External"/><Relationship Id="rId28" Type="http://schemas.openxmlformats.org/officeDocument/2006/relationships/hyperlink" Target="https://drive.google.com/file/d/14C9cxxXt_YAzK_LJEVPSD_fJwwcWUVps/view?usp=sharing" TargetMode="External"/><Relationship Id="rId36" Type="http://schemas.openxmlformats.org/officeDocument/2006/relationships/hyperlink" Target="https://drive.google.com/file/d/14FnMslW2ebA23iZl8NlAzk_2OjjGeOu8/view?usp=sharing" TargetMode="External"/><Relationship Id="rId10" Type="http://schemas.openxmlformats.org/officeDocument/2006/relationships/hyperlink" Target="https://www.cccco.edu/-/media/CCCCO-Website/Files/Communications/101920-ccc-vision-onepager-accessible-final.pdf" TargetMode="External"/><Relationship Id="rId19" Type="http://schemas.openxmlformats.org/officeDocument/2006/relationships/comments" Target="comments.xml"/><Relationship Id="rId31"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rive.google.com/drive/folders/1cJTL936yJGJVKo5P4OGOf2qzsMu3gEqM?usp=share_link" TargetMode="External"/><Relationship Id="rId22" Type="http://schemas.openxmlformats.org/officeDocument/2006/relationships/image" Target="media/image1.png"/><Relationship Id="rId27"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30" Type="http://schemas.openxmlformats.org/officeDocument/2006/relationships/hyperlink" Target="https://www.youtube.com/watch?v=T4wQVq5a71U&amp;feature=youtu.be" TargetMode="External"/><Relationship Id="rId35" Type="http://schemas.openxmlformats.org/officeDocument/2006/relationships/image" Target="media/image2.png"/><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drive.google.com/file/d/1xiKMI84yGCETRjx-cNfQRClCAe3Cu63X/view?usp=sharing" TargetMode="External"/><Relationship Id="rId17" Type="http://schemas.openxmlformats.org/officeDocument/2006/relationships/hyperlink" Target="https://www.cccco.edu/About-Us/Chancellors-Office/Divisions/College-Finance-and-Facilities-Planning/Student-Centered-Funding-Formula" TargetMode="External"/><Relationship Id="rId25"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33" Type="http://schemas.openxmlformats.org/officeDocument/2006/relationships/hyperlink" Target="https://www.cccco.edu/-/media/CCCCO-Website/Files/Communications/101920-ccc-vision-onepager-accessible-final.pdf" TargetMode="External"/><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5C155E217ED94A861D0E7CF55A43E5" ma:contentTypeVersion="4" ma:contentTypeDescription="Create a new document." ma:contentTypeScope="" ma:versionID="621efd03687e443119dae214fbb219f8">
  <xsd:schema xmlns:xsd="http://www.w3.org/2001/XMLSchema" xmlns:xs="http://www.w3.org/2001/XMLSchema" xmlns:p="http://schemas.microsoft.com/office/2006/metadata/properties" xmlns:ns2="678f9769-064a-40b4-ae91-0541398bcff2" xmlns:ns3="ac2e8d13-8440-4ecd-a61a-3b6f5c8e13e8" targetNamespace="http://schemas.microsoft.com/office/2006/metadata/properties" ma:root="true" ma:fieldsID="9858bd2f9328dc6f2d9b8c072348e856" ns2:_="" ns3:_="">
    <xsd:import namespace="678f9769-064a-40b4-ae91-0541398bcff2"/>
    <xsd:import namespace="ac2e8d13-8440-4ecd-a61a-3b6f5c8e13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f9769-064a-40b4-ae91-0541398bc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2e8d13-8440-4ecd-a61a-3b6f5c8e13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c2e8d13-8440-4ecd-a61a-3b6f5c8e13e8">
      <UserInfo>
        <DisplayName/>
        <AccountId xsi:nil="true"/>
        <AccountType/>
      </UserInfo>
    </SharedWithUsers>
  </documentManagement>
</p:properties>
</file>

<file path=customXml/itemProps1.xml><?xml version="1.0" encoding="utf-8"?>
<ds:datastoreItem xmlns:ds="http://schemas.openxmlformats.org/officeDocument/2006/customXml" ds:itemID="{0F475DA4-7E27-4CD8-AD95-9CBFEE98CC37}"/>
</file>

<file path=customXml/itemProps2.xml><?xml version="1.0" encoding="utf-8"?>
<ds:datastoreItem xmlns:ds="http://schemas.openxmlformats.org/officeDocument/2006/customXml" ds:itemID="{3A19EDB4-0E44-4176-AB81-45902669A669}">
  <ds:schemaRefs>
    <ds:schemaRef ds:uri="http://schemas.microsoft.com/sharepoint/v3/contenttype/forms"/>
  </ds:schemaRefs>
</ds:datastoreItem>
</file>

<file path=customXml/itemProps3.xml><?xml version="1.0" encoding="utf-8"?>
<ds:datastoreItem xmlns:ds="http://schemas.openxmlformats.org/officeDocument/2006/customXml" ds:itemID="{2616FD24-7113-4358-951E-0D48878DC6B1}">
  <ds:schemaRefs>
    <ds:schemaRef ds:uri="http://purl.org/dc/elements/1.1/"/>
    <ds:schemaRef ds:uri="http://www.w3.org/XML/1998/namespace"/>
    <ds:schemaRef ds:uri="http://schemas.microsoft.com/office/2006/metadata/properties"/>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3651d949-2f1e-45fa-b54b-6d29d0629ce7"/>
    <ds:schemaRef ds:uri="ab536ded-979e-4e2d-a1c6-de59c41ef744"/>
  </ds:schemaRefs>
</ds:datastoreItem>
</file>

<file path=docProps/app.xml><?xml version="1.0" encoding="utf-8"?>
<Properties xmlns="http://schemas.openxmlformats.org/officeDocument/2006/extended-properties" xmlns:vt="http://schemas.openxmlformats.org/officeDocument/2006/docPropsVTypes">
  <Template>Normal.dotm</Template>
  <TotalTime>673</TotalTime>
  <Pages>16</Pages>
  <Words>5217</Words>
  <Characters>29737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Alejandro Wolbert</cp:lastModifiedBy>
  <cp:revision>23</cp:revision>
  <dcterms:created xsi:type="dcterms:W3CDTF">2022-11-29T19:46:00Z</dcterms:created>
  <dcterms:modified xsi:type="dcterms:W3CDTF">2022-11-30T20:39:00Z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0x010100925C155E217ED94A861D0E7CF55A43E5</vt:lpwstr>
  </property>
  <property fmtid="{D5CDD505-2E9C-101B-9397-08002B2CF9AE}" pid="3" name="Order">
    <vt:r8>184700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