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4724DA29">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bookmarkStart w:id="0" w:name="_Int_RkB6ruw0"/>
      <w:proofErr w:type="gramStart"/>
      <w:r w:rsidRPr="4724DA29">
        <w:rPr>
          <w:rFonts w:ascii="Helvetica Neue" w:hAnsi="Helvetica Neue"/>
          <w:sz w:val="21"/>
          <w:szCs w:val="21"/>
        </w:rPr>
        <w:t>District</w:t>
      </w:r>
      <w:bookmarkEnd w:id="0"/>
      <w:proofErr w:type="gramEnd"/>
      <w:r w:rsidRPr="4724DA29">
        <w:rPr>
          <w:rFonts w:ascii="Helvetica Neue" w:hAnsi="Helvetica Neue"/>
          <w:sz w:val="21"/>
          <w:szCs w:val="21"/>
        </w:rPr>
        <w:t xml:space="preserve"> with their planning for their Strategic Plan.  This</w:t>
      </w:r>
      <w:r w:rsidR="00F410FF" w:rsidRPr="4724DA29">
        <w:rPr>
          <w:rFonts w:ascii="Helvetica Neue" w:hAnsi="Helvetica Neue"/>
          <w:sz w:val="21"/>
          <w:szCs w:val="21"/>
        </w:rPr>
        <w:t xml:space="preserve"> year’s</w:t>
      </w:r>
      <w:r w:rsidRPr="4724DA29">
        <w:rPr>
          <w:rFonts w:ascii="Helvetica Neue" w:hAnsi="Helvetica Neue"/>
          <w:sz w:val="21"/>
          <w:szCs w:val="21"/>
        </w:rPr>
        <w:t xml:space="preserve"> APU will take </w:t>
      </w:r>
      <w:r w:rsidR="00115D65" w:rsidRPr="4724DA29">
        <w:rPr>
          <w:rFonts w:ascii="Helvetica Neue" w:hAnsi="Helvetica Neue"/>
          <w:sz w:val="21"/>
          <w:szCs w:val="21"/>
        </w:rPr>
        <w:t xml:space="preserve">an </w:t>
      </w:r>
      <w:r w:rsidR="00F410FF" w:rsidRPr="4724DA29">
        <w:rPr>
          <w:rFonts w:ascii="Helvetica Neue" w:hAnsi="Helvetica Neue"/>
          <w:sz w:val="21"/>
          <w:szCs w:val="21"/>
        </w:rPr>
        <w:t xml:space="preserve">especially </w:t>
      </w:r>
      <w:r w:rsidRPr="4724DA29">
        <w:rPr>
          <w:rFonts w:ascii="Helvetica Neue" w:hAnsi="Helvetica Neue"/>
          <w:sz w:val="21"/>
          <w:szCs w:val="21"/>
        </w:rPr>
        <w:t>important role for the EMP process</w:t>
      </w:r>
      <w:r w:rsidR="00FE5757" w:rsidRPr="4724DA29">
        <w:rPr>
          <w:rFonts w:ascii="Helvetica Neue" w:hAnsi="Helvetica Neue"/>
          <w:sz w:val="21"/>
          <w:szCs w:val="21"/>
        </w:rPr>
        <w:t xml:space="preserve">, carrying your analysis, planning and strategies to support our </w:t>
      </w:r>
      <w:proofErr w:type="gramStart"/>
      <w:r w:rsidR="00FE5757" w:rsidRPr="4724DA29">
        <w:rPr>
          <w:rFonts w:ascii="Helvetica Neue" w:hAnsi="Helvetica Neue"/>
          <w:sz w:val="21"/>
          <w:szCs w:val="21"/>
        </w:rPr>
        <w:t>students</w:t>
      </w:r>
      <w:proofErr w:type="gramEnd"/>
      <w:r w:rsidR="00FE5757" w:rsidRPr="4724DA29">
        <w:rPr>
          <w:rFonts w:ascii="Helvetica Neue" w:hAnsi="Helvetica Neue"/>
          <w:sz w:val="21"/>
          <w:szCs w:val="21"/>
        </w:rPr>
        <w:t xml:space="preserve">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00423702" w:rsidRPr="00E35ADB">
        <w:rPr>
          <w:rFonts w:ascii="Helvetica Neue" w:hAnsi="Helvetica Neue"/>
          <w:sz w:val="21"/>
          <w:szCs w:val="21"/>
        </w:rPr>
        <w:t xml:space="preserve">  If you have questions regarding data, please contact Dr. </w:t>
      </w:r>
      <w:proofErr w:type="spellStart"/>
      <w:r w:rsidR="00423702" w:rsidRPr="00E35ADB">
        <w:rPr>
          <w:rFonts w:ascii="Helvetica Neue" w:hAnsi="Helvetica Neue"/>
          <w:sz w:val="21"/>
          <w:szCs w:val="21"/>
        </w:rPr>
        <w:t>Phoumy</w:t>
      </w:r>
      <w:proofErr w:type="spellEnd"/>
      <w:r w:rsidR="00423702" w:rsidRPr="00E35ADB">
        <w:rPr>
          <w:rFonts w:ascii="Helvetica Neue" w:hAnsi="Helvetica Neue"/>
          <w:sz w:val="21"/>
          <w:szCs w:val="21"/>
        </w:rPr>
        <w:t xml:space="preserve"> </w:t>
      </w:r>
      <w:proofErr w:type="spellStart"/>
      <w:r w:rsidR="00423702" w:rsidRPr="00E35ADB">
        <w:rPr>
          <w:rFonts w:ascii="Helvetica Neue" w:hAnsi="Helvetica Neue"/>
          <w:sz w:val="21"/>
          <w:szCs w:val="21"/>
        </w:rPr>
        <w:t>Sayavong</w:t>
      </w:r>
      <w:proofErr w:type="spellEnd"/>
      <w:r w:rsidR="00423702" w:rsidRPr="00E35ADB">
        <w:rPr>
          <w:rFonts w:ascii="Helvetica Neue" w:hAnsi="Helvetica Neue"/>
          <w:sz w:val="21"/>
          <w:szCs w:val="21"/>
        </w:rPr>
        <w:t>,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1"/>
        <w:tblW w:w="9926" w:type="dxa"/>
        <w:tblLook w:val="04A0" w:firstRow="1" w:lastRow="0" w:firstColumn="1" w:lastColumn="0" w:noHBand="0" w:noVBand="1"/>
      </w:tblPr>
      <w:tblGrid>
        <w:gridCol w:w="5070"/>
        <w:gridCol w:w="2755"/>
        <w:gridCol w:w="2101"/>
      </w:tblGrid>
      <w:tr w:rsidR="00C634A7" w14:paraId="0A055AA2" w14:textId="77777777" w:rsidTr="50597374">
        <w:tc>
          <w:tcPr>
            <w:tcW w:w="9926" w:type="dxa"/>
            <w:gridSpan w:val="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50597374">
        <w:tc>
          <w:tcPr>
            <w:tcW w:w="9926" w:type="dxa"/>
            <w:gridSpan w:val="3"/>
          </w:tcPr>
          <w:p w14:paraId="01079980" w14:textId="5FE4CE9B" w:rsidR="00241CB8" w:rsidRPr="00A5253D" w:rsidRDefault="4A811770" w:rsidP="4724DA29">
            <w:r w:rsidRPr="50597374">
              <w:rPr>
                <w:rFonts w:ascii="Times" w:eastAsia="Times" w:hAnsi="Times" w:cs="Times"/>
                <w:color w:val="000000" w:themeColor="text1"/>
                <w:sz w:val="22"/>
                <w:szCs w:val="22"/>
              </w:rPr>
              <w:t>The goal of the Biology</w:t>
            </w:r>
            <w:r w:rsidR="55FE326A" w:rsidRPr="50597374">
              <w:rPr>
                <w:rFonts w:ascii="Times" w:eastAsia="Times" w:hAnsi="Times" w:cs="Times"/>
                <w:color w:val="000000" w:themeColor="text1"/>
                <w:sz w:val="22"/>
                <w:szCs w:val="22"/>
              </w:rPr>
              <w:t xml:space="preserve"> Program at Berkeley City College</w:t>
            </w:r>
            <w:r w:rsidRPr="50597374">
              <w:rPr>
                <w:rFonts w:ascii="Times" w:eastAsia="Times" w:hAnsi="Times" w:cs="Times"/>
                <w:color w:val="000000" w:themeColor="text1"/>
                <w:sz w:val="22"/>
                <w:szCs w:val="22"/>
              </w:rPr>
              <w:t xml:space="preserve"> is to provide students with the knowledge and skills they will need </w:t>
            </w:r>
            <w:proofErr w:type="gramStart"/>
            <w:r w:rsidRPr="50597374">
              <w:rPr>
                <w:rFonts w:ascii="Times" w:eastAsia="Times" w:hAnsi="Times" w:cs="Times"/>
                <w:color w:val="000000" w:themeColor="text1"/>
                <w:sz w:val="22"/>
                <w:szCs w:val="22"/>
              </w:rPr>
              <w:t>in order to</w:t>
            </w:r>
            <w:proofErr w:type="gramEnd"/>
            <w:r w:rsidRPr="50597374">
              <w:rPr>
                <w:rFonts w:ascii="Times" w:eastAsia="Times" w:hAnsi="Times" w:cs="Times"/>
                <w:color w:val="000000" w:themeColor="text1"/>
                <w:sz w:val="22"/>
                <w:szCs w:val="22"/>
              </w:rPr>
              <w:t xml:space="preserve"> perform successfully in the next stage of their careers, whether that stage involves transfer to a 4-year institution, entering a professional program of study such as nursing, or entering the workplace in a specialized field such as biotechnology. Another important goal is to build steppingstones to science </w:t>
            </w:r>
            <w:proofErr w:type="gramStart"/>
            <w:r w:rsidRPr="50597374">
              <w:rPr>
                <w:rFonts w:ascii="Times" w:eastAsia="Times" w:hAnsi="Times" w:cs="Times"/>
                <w:color w:val="000000" w:themeColor="text1"/>
                <w:sz w:val="22"/>
                <w:szCs w:val="22"/>
              </w:rPr>
              <w:t>in order to</w:t>
            </w:r>
            <w:proofErr w:type="gramEnd"/>
            <w:r w:rsidRPr="50597374">
              <w:rPr>
                <w:rFonts w:ascii="Times" w:eastAsia="Times" w:hAnsi="Times" w:cs="Times"/>
                <w:color w:val="000000" w:themeColor="text1"/>
                <w:sz w:val="22"/>
                <w:szCs w:val="22"/>
              </w:rPr>
              <w:t xml:space="preserve"> make careers in science accessible to students who have little or no background in science and math but who have been excited by the news and the potential of interesting jobs in biotechnology and other science related fields.     </w:t>
            </w:r>
          </w:p>
          <w:p w14:paraId="2B240624" w14:textId="079CFD1D"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50597374">
        <w:trPr>
          <w:trHeight w:val="207"/>
        </w:trPr>
        <w:tc>
          <w:tcPr>
            <w:tcW w:w="5070" w:type="dxa"/>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755" w:type="dxa"/>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73706E" w14:paraId="626B4E3E" w14:textId="77777777" w:rsidTr="50597374">
        <w:trPr>
          <w:trHeight w:val="206"/>
        </w:trPr>
        <w:tc>
          <w:tcPr>
            <w:tcW w:w="5070" w:type="dxa"/>
            <w:vAlign w:val="bottom"/>
          </w:tcPr>
          <w:p w14:paraId="1E3298A9" w14:textId="5AE74D69" w:rsidR="0073706E" w:rsidRDefault="0073706E" w:rsidP="50597374">
            <w:r w:rsidRPr="50597374">
              <w:rPr>
                <w:rFonts w:ascii="Helvetica Neue" w:eastAsia="Helvetica Neue" w:hAnsi="Helvetica Neue" w:cs="Helvetica Neue"/>
                <w:color w:val="000000" w:themeColor="text1"/>
                <w:sz w:val="22"/>
                <w:szCs w:val="22"/>
              </w:rPr>
              <w:t>Pieter de Haan</w:t>
            </w:r>
          </w:p>
          <w:p w14:paraId="0C4DDCDE" w14:textId="4ACD71DD" w:rsidR="0073706E" w:rsidRPr="00BF4F9D" w:rsidRDefault="0073706E" w:rsidP="4724DA29">
            <w:pPr>
              <w:pStyle w:val="NoSpacing"/>
              <w:rPr>
                <w:rFonts w:ascii="Helvetica Neue" w:hAnsi="Helvetica Neue"/>
                <w:color w:val="FFFFFF" w:themeColor="background1"/>
              </w:rPr>
            </w:pPr>
          </w:p>
        </w:tc>
        <w:tc>
          <w:tcPr>
            <w:tcW w:w="2755" w:type="dxa"/>
            <w:vAlign w:val="bottom"/>
          </w:tcPr>
          <w:p w14:paraId="5BA58CFE" w14:textId="1ED9E80B" w:rsidR="0073706E" w:rsidRPr="00BF4F9D" w:rsidRDefault="0073706E" w:rsidP="0073706E">
            <w:pPr>
              <w:pStyle w:val="NoSpacing"/>
              <w:rPr>
                <w:rFonts w:ascii="Times New Roman" w:eastAsia="Times New Roman" w:hAnsi="Times New Roman" w:cs="Times New Roman"/>
              </w:rPr>
            </w:pPr>
            <w:r w:rsidRPr="50597374">
              <w:rPr>
                <w:rFonts w:ascii="Times New Roman" w:eastAsia="Times New Roman" w:hAnsi="Times New Roman" w:cs="Times New Roman"/>
                <w:color w:val="000000" w:themeColor="text1"/>
              </w:rPr>
              <w:t>Science: Biology</w:t>
            </w:r>
          </w:p>
          <w:p w14:paraId="221EEE64" w14:textId="65ACF4D7" w:rsidR="0073706E" w:rsidRPr="00BF4F9D" w:rsidRDefault="0073706E" w:rsidP="50597374">
            <w:pPr>
              <w:pStyle w:val="NoSpacing"/>
              <w:ind w:left="46"/>
              <w:rPr>
                <w:rFonts w:ascii="Times New Roman" w:eastAsia="Times New Roman" w:hAnsi="Times New Roman" w:cs="Times New Roman"/>
                <w:color w:val="000000" w:themeColor="text1"/>
              </w:rPr>
            </w:pPr>
          </w:p>
        </w:tc>
        <w:tc>
          <w:tcPr>
            <w:tcW w:w="2101" w:type="dxa"/>
            <w:vAlign w:val="bottom"/>
          </w:tcPr>
          <w:p w14:paraId="6663A96D" w14:textId="77777777" w:rsidR="0073706E" w:rsidRDefault="0073706E" w:rsidP="0073706E">
            <w:pPr>
              <w:pStyle w:val="NoSpacing"/>
            </w:pPr>
            <w:r>
              <w:t>11/25/22</w:t>
            </w:r>
          </w:p>
          <w:p w14:paraId="32758B3C" w14:textId="45A1AC81" w:rsidR="0073706E" w:rsidRPr="0073706E" w:rsidRDefault="0073706E" w:rsidP="0073706E">
            <w:pPr>
              <w:pStyle w:val="NoSpacing"/>
            </w:pPr>
          </w:p>
        </w:tc>
      </w:tr>
      <w:tr w:rsidR="0073706E" w14:paraId="7A624E70" w14:textId="77777777" w:rsidTr="50597374">
        <w:tc>
          <w:tcPr>
            <w:tcW w:w="9926" w:type="dxa"/>
            <w:gridSpan w:val="3"/>
          </w:tcPr>
          <w:p w14:paraId="45D43E2E" w14:textId="2FF8D6A4" w:rsidR="0073706E" w:rsidRPr="007335EF" w:rsidRDefault="0073706E"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with assignments in fall 202</w:t>
            </w:r>
            <w:r>
              <w:rPr>
                <w:rFonts w:ascii="Helvetica Neue" w:hAnsi="Helvetica Neue"/>
                <w:b/>
                <w:bCs/>
                <w:color w:val="000000" w:themeColor="text1"/>
              </w:rPr>
              <w:t>2</w:t>
            </w:r>
            <w:r w:rsidRPr="007335EF">
              <w:rPr>
                <w:rFonts w:ascii="Helvetica Neue" w:hAnsi="Helvetica Neue"/>
                <w:b/>
                <w:bCs/>
                <w:color w:val="000000" w:themeColor="text1"/>
              </w:rPr>
              <w:t>.</w:t>
            </w:r>
          </w:p>
        </w:tc>
      </w:tr>
      <w:tr w:rsidR="0073706E" w14:paraId="3C1A124C" w14:textId="77777777" w:rsidTr="50597374">
        <w:trPr>
          <w:trHeight w:val="132"/>
        </w:trPr>
        <w:tc>
          <w:tcPr>
            <w:tcW w:w="5070" w:type="dxa"/>
          </w:tcPr>
          <w:p w14:paraId="3B2787A2" w14:textId="22FC8843" w:rsidR="0073706E" w:rsidRPr="007335EF" w:rsidRDefault="0073706E"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856" w:type="dxa"/>
            <w:gridSpan w:val="2"/>
          </w:tcPr>
          <w:p w14:paraId="286815D3" w14:textId="4D0424B1" w:rsidR="0073706E" w:rsidRPr="007335EF" w:rsidRDefault="0073706E"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73706E" w14:paraId="30412837" w14:textId="77777777" w:rsidTr="50597374">
        <w:trPr>
          <w:trHeight w:val="131"/>
        </w:trPr>
        <w:tc>
          <w:tcPr>
            <w:tcW w:w="5070" w:type="dxa"/>
            <w:vAlign w:val="bottom"/>
          </w:tcPr>
          <w:p w14:paraId="2914CE46" w14:textId="6322402A" w:rsidR="0073706E" w:rsidRDefault="0073706E" w:rsidP="50597374">
            <w:pPr>
              <w:rPr>
                <w:sz w:val="20"/>
                <w:szCs w:val="20"/>
              </w:rPr>
            </w:pPr>
            <w:r w:rsidRPr="50597374">
              <w:rPr>
                <w:sz w:val="20"/>
                <w:szCs w:val="20"/>
              </w:rPr>
              <w:t xml:space="preserve">Barbara </w:t>
            </w:r>
            <w:proofErr w:type="spellStart"/>
            <w:r w:rsidRPr="50597374">
              <w:rPr>
                <w:sz w:val="20"/>
                <w:szCs w:val="20"/>
              </w:rPr>
              <w:t>DesRochers</w:t>
            </w:r>
            <w:proofErr w:type="spellEnd"/>
            <w:r w:rsidRPr="50597374">
              <w:rPr>
                <w:sz w:val="20"/>
                <w:szCs w:val="20"/>
              </w:rPr>
              <w:t xml:space="preserve"> Ph.D. (Biology and Biotechnology)</w:t>
            </w:r>
          </w:p>
          <w:p w14:paraId="508CE3F1" w14:textId="102F4969" w:rsidR="0073706E" w:rsidRDefault="0073706E" w:rsidP="50597374">
            <w:pPr>
              <w:rPr>
                <w:sz w:val="20"/>
                <w:szCs w:val="20"/>
              </w:rPr>
            </w:pPr>
            <w:r w:rsidRPr="50597374">
              <w:rPr>
                <w:sz w:val="20"/>
                <w:szCs w:val="20"/>
              </w:rPr>
              <w:t>Pieter de Haan Ph.D. (Biology)</w:t>
            </w:r>
          </w:p>
          <w:p w14:paraId="511CA547" w14:textId="72882480" w:rsidR="0073706E" w:rsidRDefault="0073706E" w:rsidP="50597374">
            <w:pPr>
              <w:rPr>
                <w:sz w:val="20"/>
                <w:szCs w:val="20"/>
              </w:rPr>
            </w:pPr>
            <w:r w:rsidRPr="50597374">
              <w:rPr>
                <w:sz w:val="20"/>
                <w:szCs w:val="20"/>
              </w:rPr>
              <w:t>Randy Yang Ph.D. (Biology and Biotechnology)</w:t>
            </w:r>
          </w:p>
          <w:p w14:paraId="4B4544DE" w14:textId="769C6797" w:rsidR="0073706E" w:rsidRDefault="0073706E" w:rsidP="50597374">
            <w:pPr>
              <w:rPr>
                <w:sz w:val="20"/>
                <w:szCs w:val="20"/>
              </w:rPr>
            </w:pPr>
            <w:r w:rsidRPr="50597374">
              <w:rPr>
                <w:sz w:val="20"/>
                <w:szCs w:val="20"/>
              </w:rPr>
              <w:t>Erika Yeh Ph.D. (Biology and Biotechnology)</w:t>
            </w:r>
          </w:p>
          <w:p w14:paraId="170CC993" w14:textId="73389009" w:rsidR="0073706E" w:rsidRPr="007335EF" w:rsidRDefault="0073706E" w:rsidP="4724DA29">
            <w:r w:rsidRPr="4724DA29">
              <w:rPr>
                <w:sz w:val="20"/>
                <w:szCs w:val="20"/>
              </w:rPr>
              <w:t>Bio technician (Vacant)</w:t>
            </w:r>
          </w:p>
          <w:p w14:paraId="049756DB" w14:textId="5E116EED" w:rsidR="0073706E" w:rsidRPr="007335EF" w:rsidRDefault="0073706E" w:rsidP="00BF4F9D">
            <w:pPr>
              <w:pStyle w:val="NoSpacing"/>
              <w:rPr>
                <w:rFonts w:ascii="Helvetica Neue" w:hAnsi="Helvetica Neue"/>
              </w:rPr>
            </w:pPr>
          </w:p>
        </w:tc>
        <w:tc>
          <w:tcPr>
            <w:tcW w:w="4856" w:type="dxa"/>
            <w:gridSpan w:val="2"/>
            <w:vAlign w:val="bottom"/>
          </w:tcPr>
          <w:p w14:paraId="4D8C2B8B" w14:textId="230AE048" w:rsidR="0073706E" w:rsidRPr="007335EF" w:rsidRDefault="0073706E" w:rsidP="50597374">
            <w:pPr>
              <w:rPr>
                <w:sz w:val="20"/>
                <w:szCs w:val="20"/>
              </w:rPr>
            </w:pPr>
            <w:r w:rsidRPr="50597374">
              <w:rPr>
                <w:sz w:val="20"/>
                <w:szCs w:val="20"/>
              </w:rPr>
              <w:t>Doug Schmidt Ph.D. (Biology)</w:t>
            </w:r>
          </w:p>
          <w:p w14:paraId="5C760769" w14:textId="73743528" w:rsidR="0073706E" w:rsidRPr="007335EF" w:rsidRDefault="0073706E" w:rsidP="50597374">
            <w:pPr>
              <w:rPr>
                <w:sz w:val="20"/>
                <w:szCs w:val="20"/>
              </w:rPr>
            </w:pPr>
            <w:r w:rsidRPr="50597374">
              <w:rPr>
                <w:sz w:val="20"/>
                <w:szCs w:val="20"/>
              </w:rPr>
              <w:t xml:space="preserve">Linda </w:t>
            </w:r>
            <w:proofErr w:type="spellStart"/>
            <w:r w:rsidRPr="50597374">
              <w:rPr>
                <w:sz w:val="20"/>
                <w:szCs w:val="20"/>
              </w:rPr>
              <w:t>McPheron</w:t>
            </w:r>
            <w:proofErr w:type="spellEnd"/>
            <w:r w:rsidRPr="50597374">
              <w:rPr>
                <w:sz w:val="20"/>
                <w:szCs w:val="20"/>
              </w:rPr>
              <w:t xml:space="preserve"> Ph.D. (Biology)</w:t>
            </w:r>
          </w:p>
          <w:p w14:paraId="4E548E57" w14:textId="31CD19A4" w:rsidR="0073706E" w:rsidRPr="007335EF" w:rsidRDefault="0073706E" w:rsidP="50597374">
            <w:pPr>
              <w:rPr>
                <w:sz w:val="20"/>
                <w:szCs w:val="20"/>
              </w:rPr>
            </w:pPr>
            <w:r w:rsidRPr="50597374">
              <w:rPr>
                <w:sz w:val="20"/>
                <w:szCs w:val="20"/>
              </w:rPr>
              <w:t>Julia Chang Ph.D. (Biology)</w:t>
            </w:r>
          </w:p>
          <w:p w14:paraId="41734066" w14:textId="7DB3FC19" w:rsidR="0073706E" w:rsidRPr="007335EF" w:rsidRDefault="0073706E" w:rsidP="50597374">
            <w:pPr>
              <w:rPr>
                <w:sz w:val="20"/>
                <w:szCs w:val="20"/>
              </w:rPr>
            </w:pPr>
            <w:r w:rsidRPr="50597374">
              <w:rPr>
                <w:sz w:val="20"/>
                <w:szCs w:val="20"/>
              </w:rPr>
              <w:t xml:space="preserve">Lili </w:t>
            </w:r>
            <w:proofErr w:type="spellStart"/>
            <w:r w:rsidRPr="50597374">
              <w:rPr>
                <w:sz w:val="20"/>
                <w:szCs w:val="20"/>
              </w:rPr>
              <w:t>Banihashemi</w:t>
            </w:r>
            <w:proofErr w:type="spellEnd"/>
            <w:r w:rsidRPr="50597374">
              <w:rPr>
                <w:sz w:val="20"/>
                <w:szCs w:val="20"/>
              </w:rPr>
              <w:t xml:space="preserve"> MS. (Biology)</w:t>
            </w:r>
          </w:p>
          <w:p w14:paraId="2B7192F7" w14:textId="0DA2E36E" w:rsidR="0073706E" w:rsidRPr="007335EF" w:rsidRDefault="0073706E" w:rsidP="50597374">
            <w:pPr>
              <w:rPr>
                <w:sz w:val="20"/>
                <w:szCs w:val="20"/>
              </w:rPr>
            </w:pPr>
            <w:r w:rsidRPr="50597374">
              <w:rPr>
                <w:sz w:val="20"/>
                <w:szCs w:val="20"/>
              </w:rPr>
              <w:t xml:space="preserve">Scott </w:t>
            </w:r>
            <w:proofErr w:type="spellStart"/>
            <w:r w:rsidRPr="50597374">
              <w:rPr>
                <w:sz w:val="20"/>
                <w:szCs w:val="20"/>
              </w:rPr>
              <w:t>Blitch</w:t>
            </w:r>
            <w:proofErr w:type="spellEnd"/>
            <w:r w:rsidRPr="50597374">
              <w:rPr>
                <w:sz w:val="20"/>
                <w:szCs w:val="20"/>
              </w:rPr>
              <w:t xml:space="preserve"> MS. (Biology)</w:t>
            </w:r>
          </w:p>
          <w:p w14:paraId="40640577" w14:textId="390BCEA6" w:rsidR="0073706E" w:rsidRPr="007335EF" w:rsidRDefault="0073706E" w:rsidP="50597374">
            <w:pPr>
              <w:rPr>
                <w:sz w:val="20"/>
                <w:szCs w:val="20"/>
              </w:rPr>
            </w:pPr>
            <w:r w:rsidRPr="50597374">
              <w:rPr>
                <w:sz w:val="20"/>
                <w:szCs w:val="20"/>
              </w:rPr>
              <w:t xml:space="preserve">Jacob Bertrand Ph.D. (Biology) </w:t>
            </w:r>
          </w:p>
          <w:p w14:paraId="5BB0FF5B" w14:textId="3300768A" w:rsidR="0073706E" w:rsidRPr="007335EF" w:rsidRDefault="0073706E" w:rsidP="00BF4F9D">
            <w:pPr>
              <w:pStyle w:val="NoSpacing"/>
              <w:rPr>
                <w:rFonts w:ascii="Helvetica Neue" w:hAnsi="Helvetica Neue"/>
              </w:rPr>
            </w:pPr>
          </w:p>
        </w:tc>
      </w:tr>
      <w:tr w:rsidR="0073706E" w14:paraId="701B82D6" w14:textId="77777777" w:rsidTr="50597374">
        <w:trPr>
          <w:trHeight w:val="131"/>
        </w:trPr>
        <w:tc>
          <w:tcPr>
            <w:tcW w:w="5070" w:type="dxa"/>
            <w:vAlign w:val="bottom"/>
          </w:tcPr>
          <w:p w14:paraId="764F54CF" w14:textId="6DE274D7" w:rsidR="0073706E" w:rsidRDefault="0073706E" w:rsidP="50597374">
            <w:pPr>
              <w:rPr>
                <w:sz w:val="20"/>
                <w:szCs w:val="20"/>
              </w:rPr>
            </w:pPr>
          </w:p>
        </w:tc>
        <w:tc>
          <w:tcPr>
            <w:tcW w:w="4856" w:type="dxa"/>
            <w:gridSpan w:val="2"/>
            <w:vAlign w:val="bottom"/>
          </w:tcPr>
          <w:p w14:paraId="1302FD3E" w14:textId="22AF31A4" w:rsidR="0073706E" w:rsidRDefault="0073706E" w:rsidP="50597374">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50597374">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50597374">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50597374">
        <w:tc>
          <w:tcPr>
            <w:tcW w:w="9926" w:type="dxa"/>
            <w:shd w:val="clear" w:color="auto" w:fill="FFF2CC" w:themeFill="accent4" w:themeFillTint="33"/>
          </w:tcPr>
          <w:p w14:paraId="0A644BDA" w14:textId="6BA8C4BA" w:rsidR="00636202" w:rsidRPr="007335EF" w:rsidRDefault="22E9AB12" w:rsidP="50597374">
            <w:pPr>
              <w:rPr>
                <w:sz w:val="20"/>
                <w:szCs w:val="20"/>
              </w:rPr>
            </w:pPr>
            <w:r w:rsidRPr="50597374">
              <w:rPr>
                <w:sz w:val="20"/>
                <w:szCs w:val="20"/>
              </w:rPr>
              <w:lastRenderedPageBreak/>
              <w:t xml:space="preserve">The Science department is looking for </w:t>
            </w:r>
            <w:r w:rsidR="27E044E6" w:rsidRPr="50597374">
              <w:rPr>
                <w:sz w:val="20"/>
                <w:szCs w:val="20"/>
              </w:rPr>
              <w:t>OER</w:t>
            </w:r>
            <w:r w:rsidRPr="50597374">
              <w:rPr>
                <w:sz w:val="20"/>
                <w:szCs w:val="20"/>
              </w:rPr>
              <w:t xml:space="preserve"> textbooks for the students. B</w:t>
            </w:r>
            <w:r w:rsidR="78DC083D" w:rsidRPr="50597374">
              <w:rPr>
                <w:sz w:val="20"/>
                <w:szCs w:val="20"/>
              </w:rPr>
              <w:t xml:space="preserve">IOL0-1A and 1B are using OPENSTAX </w:t>
            </w:r>
            <w:r w:rsidR="127A7E3F" w:rsidRPr="50597374">
              <w:rPr>
                <w:sz w:val="20"/>
                <w:szCs w:val="20"/>
              </w:rPr>
              <w:t>books,</w:t>
            </w:r>
            <w:r w:rsidR="7AE9BCD8" w:rsidRPr="50597374">
              <w:rPr>
                <w:sz w:val="20"/>
                <w:szCs w:val="20"/>
              </w:rPr>
              <w:t xml:space="preserve"> the BIOL-10 is slowly moving to the OPENSTAX book.</w:t>
            </w:r>
            <w:r w:rsidR="02561769" w:rsidRPr="50597374">
              <w:rPr>
                <w:sz w:val="20"/>
                <w:szCs w:val="20"/>
              </w:rPr>
              <w:t xml:space="preserve"> Organic Chemistry is also looking for this opportunity for the students.</w:t>
            </w:r>
          </w:p>
          <w:p w14:paraId="4A77115B" w14:textId="245AE48B" w:rsidR="7E29361B" w:rsidRDefault="7E29361B" w:rsidP="50597374">
            <w:pPr>
              <w:rPr>
                <w:sz w:val="20"/>
                <w:szCs w:val="20"/>
              </w:rPr>
            </w:pPr>
            <w:r w:rsidRPr="50597374">
              <w:rPr>
                <w:sz w:val="20"/>
                <w:szCs w:val="20"/>
              </w:rPr>
              <w:t>We are also working on more AS-T degrees. Environmental Sciences will be launched in the Fall of 202</w:t>
            </w:r>
            <w:r w:rsidR="06C90059" w:rsidRPr="50597374">
              <w:rPr>
                <w:sz w:val="20"/>
                <w:szCs w:val="20"/>
              </w:rPr>
              <w:t xml:space="preserve">3. Geography AD-T will probably </w:t>
            </w:r>
            <w:r w:rsidR="11FA984C" w:rsidRPr="50597374">
              <w:rPr>
                <w:sz w:val="20"/>
                <w:szCs w:val="20"/>
              </w:rPr>
              <w:t>launch</w:t>
            </w:r>
            <w:r w:rsidR="06C90059" w:rsidRPr="50597374">
              <w:rPr>
                <w:sz w:val="20"/>
                <w:szCs w:val="20"/>
              </w:rPr>
              <w:t xml:space="preserve"> in the Spring of 2024 together with the Physi</w:t>
            </w:r>
            <w:r w:rsidR="32F5396C" w:rsidRPr="50597374">
              <w:rPr>
                <w:sz w:val="20"/>
                <w:szCs w:val="20"/>
              </w:rPr>
              <w:t>cs AS-T degree</w:t>
            </w:r>
            <w:r w:rsidR="68D8D8EC" w:rsidRPr="50597374">
              <w:rPr>
                <w:sz w:val="20"/>
                <w:szCs w:val="20"/>
              </w:rPr>
              <w:t>. We imple</w:t>
            </w:r>
            <w:r w:rsidR="71E76BD3" w:rsidRPr="50597374">
              <w:rPr>
                <w:sz w:val="20"/>
                <w:szCs w:val="20"/>
              </w:rPr>
              <w:t>me</w:t>
            </w:r>
            <w:r w:rsidR="68D8D8EC" w:rsidRPr="50597374">
              <w:rPr>
                <w:sz w:val="20"/>
                <w:szCs w:val="20"/>
              </w:rPr>
              <w:t>nted</w:t>
            </w:r>
            <w:r w:rsidR="1C356E9B" w:rsidRPr="50597374">
              <w:rPr>
                <w:sz w:val="20"/>
                <w:szCs w:val="20"/>
              </w:rPr>
              <w:t xml:space="preserve"> special learning techniques to </w:t>
            </w:r>
            <w:r w:rsidR="726B9DF5" w:rsidRPr="50597374">
              <w:rPr>
                <w:sz w:val="20"/>
                <w:szCs w:val="20"/>
              </w:rPr>
              <w:t xml:space="preserve">close the equity gaps in our </w:t>
            </w:r>
            <w:r w:rsidR="4B319E44" w:rsidRPr="50597374">
              <w:rPr>
                <w:sz w:val="20"/>
                <w:szCs w:val="20"/>
              </w:rPr>
              <w:t>biology</w:t>
            </w:r>
            <w:r w:rsidR="726B9DF5" w:rsidRPr="50597374">
              <w:rPr>
                <w:sz w:val="20"/>
                <w:szCs w:val="20"/>
              </w:rPr>
              <w:t xml:space="preserve"> courses</w:t>
            </w:r>
            <w:r w:rsidR="0395C8F8" w:rsidRPr="50597374">
              <w:rPr>
                <w:sz w:val="20"/>
                <w:szCs w:val="20"/>
              </w:rPr>
              <w:t>.</w:t>
            </w:r>
          </w:p>
          <w:p w14:paraId="44BEA0E5" w14:textId="77777777" w:rsidR="00636202" w:rsidRPr="007335EF" w:rsidRDefault="00636202" w:rsidP="50597374">
            <w:pPr>
              <w:rPr>
                <w:sz w:val="20"/>
                <w:szCs w:val="20"/>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20C05A43">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1"/>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1"/>
            <w:r w:rsidR="00BF543C" w:rsidRPr="00792442">
              <w:rPr>
                <w:rStyle w:val="CommentReference"/>
                <w:rFonts w:ascii="Times New Roman" w:eastAsia="Times New Roman" w:hAnsi="Times New Roman" w:cs="Times New Roman"/>
                <w:color w:val="FFFFFF" w:themeColor="background1"/>
              </w:rPr>
              <w:commentReference w:id="1"/>
            </w:r>
          </w:p>
        </w:tc>
      </w:tr>
      <w:tr w:rsidR="00D34063" w14:paraId="79AB959E" w14:textId="77777777" w:rsidTr="20C05A43">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r:id="rId23" w:history="1">
              <w:r w:rsidRPr="00045335">
                <w:rPr>
                  <w:rStyle w:val="Hyperlink"/>
                  <w:rFonts w:ascii="Helvetica Neue" w:hAnsi="Helvetica Neue"/>
                </w:rPr>
                <w:t>psayavong@peralta.edu</w:t>
              </w:r>
            </w:hyperlink>
          </w:p>
        </w:tc>
      </w:tr>
      <w:tr w:rsidR="009B18A6" w14:paraId="753CD758" w14:textId="77777777" w:rsidTr="20C05A43">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20C05A43">
        <w:tc>
          <w:tcPr>
            <w:tcW w:w="9926" w:type="dxa"/>
            <w:shd w:val="clear" w:color="auto" w:fill="FFF2CC" w:themeFill="accent4" w:themeFillTint="33"/>
          </w:tcPr>
          <w:p w14:paraId="6C9CB12A" w14:textId="6452BA90" w:rsidR="009B18A6" w:rsidRDefault="56FD2D81" w:rsidP="00D34063">
            <w:pPr>
              <w:pStyle w:val="NoSpacing"/>
              <w:rPr>
                <w:rFonts w:ascii="Helvetica Neue" w:hAnsi="Helvetica Neue"/>
              </w:rPr>
            </w:pPr>
            <w:r w:rsidRPr="20C05A43">
              <w:rPr>
                <w:rFonts w:ascii="Helvetica Neue" w:hAnsi="Helvetica Neue"/>
              </w:rPr>
              <w:t>For the Biology we need to include the Nursing students too.</w:t>
            </w:r>
          </w:p>
          <w:p w14:paraId="0ED31346" w14:textId="29081924" w:rsidR="42437CC0" w:rsidRDefault="42437CC0" w:rsidP="20C05A43">
            <w:pPr>
              <w:pStyle w:val="NoSpacing"/>
              <w:rPr>
                <w:rFonts w:ascii="Helvetica Neue" w:hAnsi="Helvetica Neue"/>
              </w:rPr>
            </w:pPr>
            <w:r w:rsidRPr="20C05A43">
              <w:rPr>
                <w:rFonts w:ascii="Helvetica Neue" w:hAnsi="Helvetica Neue"/>
              </w:rPr>
              <w:t xml:space="preserve">We see a relative equal success with the following groups over the last 3 years: </w:t>
            </w:r>
            <w:r w:rsidR="5B2A900C" w:rsidRPr="20C05A43">
              <w:rPr>
                <w:rFonts w:ascii="Helvetica Neue" w:hAnsi="Helvetica Neue"/>
              </w:rPr>
              <w:t xml:space="preserve">African Americans, Hispanics, and Asians. </w:t>
            </w:r>
            <w:r w:rsidR="0D867A98" w:rsidRPr="20C05A43">
              <w:rPr>
                <w:rFonts w:ascii="Helvetica Neue" w:hAnsi="Helvetica Neue"/>
              </w:rPr>
              <w:t>The white population is getting smaller. We see the overall success also college wide, except we see</w:t>
            </w:r>
            <w:r w:rsidR="25173BFE" w:rsidRPr="20C05A43">
              <w:rPr>
                <w:rFonts w:ascii="Helvetica Neue" w:hAnsi="Helvetica Neue"/>
              </w:rPr>
              <w:t xml:space="preserve"> an</w:t>
            </w:r>
            <w:r w:rsidR="0D867A98" w:rsidRPr="20C05A43">
              <w:rPr>
                <w:rFonts w:ascii="Helvetica Neue" w:hAnsi="Helvetica Neue"/>
              </w:rPr>
              <w:t xml:space="preserve"> </w:t>
            </w:r>
            <w:r w:rsidR="5446F7E4" w:rsidRPr="20C05A43">
              <w:rPr>
                <w:rFonts w:ascii="Helvetica Neue" w:hAnsi="Helvetica Neue"/>
              </w:rPr>
              <w:t xml:space="preserve">increasing success </w:t>
            </w:r>
            <w:r w:rsidR="518414FE" w:rsidRPr="20C05A43">
              <w:rPr>
                <w:rFonts w:ascii="Helvetica Neue" w:hAnsi="Helvetica Neue"/>
              </w:rPr>
              <w:t>with the Asian population in Biology.</w:t>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20C05A43">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20C05A43">
        <w:tc>
          <w:tcPr>
            <w:tcW w:w="9926" w:type="dxa"/>
            <w:shd w:val="clear" w:color="auto" w:fill="FFF2CC" w:themeFill="accent4" w:themeFillTint="33"/>
          </w:tcPr>
          <w:p w14:paraId="77406F15" w14:textId="0B4690B0" w:rsidR="009B18A6" w:rsidRDefault="40669745" w:rsidP="009B18A6">
            <w:pPr>
              <w:pStyle w:val="NoSpacing"/>
              <w:rPr>
                <w:rFonts w:ascii="Helvetica Neue" w:hAnsi="Helvetica Neue"/>
              </w:rPr>
            </w:pPr>
            <w:r w:rsidRPr="20C05A43">
              <w:rPr>
                <w:rFonts w:ascii="Helvetica Neue" w:hAnsi="Helvetica Neue"/>
              </w:rPr>
              <w:t xml:space="preserve">In the major courses we are using teaching techniques we learned at the FLOSS workshops to </w:t>
            </w:r>
            <w:r w:rsidR="6275E822" w:rsidRPr="20C05A43">
              <w:rPr>
                <w:rFonts w:ascii="Helvetica Neue" w:hAnsi="Helvetica Neue"/>
              </w:rPr>
              <w:t>decrease the equity gap. It seems to work!</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20C05A43">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20C05A43">
        <w:tc>
          <w:tcPr>
            <w:tcW w:w="9926" w:type="dxa"/>
            <w:shd w:val="clear" w:color="auto" w:fill="FFF2CC" w:themeFill="accent4" w:themeFillTint="33"/>
          </w:tcPr>
          <w:p w14:paraId="0C50DA4B" w14:textId="2925BDAD" w:rsidR="009B18A6" w:rsidRDefault="04EDE0B9" w:rsidP="009B18A6">
            <w:pPr>
              <w:pStyle w:val="NoSpacing"/>
              <w:rPr>
                <w:rFonts w:ascii="Helvetica Neue" w:hAnsi="Helvetica Neue"/>
              </w:rPr>
            </w:pPr>
            <w:r w:rsidRPr="20C05A43">
              <w:rPr>
                <w:rFonts w:ascii="Helvetica Neue" w:hAnsi="Helvetica Neue"/>
              </w:rPr>
              <w:t>We always can improve our strategies by fine tuning our teaching techniques.</w:t>
            </w: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20C05A43">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20C05A43">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20C05A43">
        <w:tc>
          <w:tcPr>
            <w:tcW w:w="9926" w:type="dxa"/>
            <w:shd w:val="clear" w:color="auto" w:fill="FFF2CC" w:themeFill="accent4" w:themeFillTint="33"/>
          </w:tcPr>
          <w:p w14:paraId="77B76DFE" w14:textId="743BCAB5" w:rsidR="00106447" w:rsidRPr="007335EF" w:rsidRDefault="5251C6ED" w:rsidP="00EE3904">
            <w:pPr>
              <w:rPr>
                <w:rFonts w:ascii="Helvetica Neue" w:hAnsi="Helvetica Neue"/>
                <w:sz w:val="22"/>
                <w:szCs w:val="22"/>
              </w:rPr>
            </w:pPr>
            <w:r w:rsidRPr="20C05A43">
              <w:rPr>
                <w:rFonts w:ascii="Helvetica Neue" w:hAnsi="Helvetica Neue"/>
                <w:sz w:val="22"/>
                <w:szCs w:val="22"/>
              </w:rPr>
              <w:t>For Biology the total enrollment declined by 50 students from</w:t>
            </w:r>
            <w:r w:rsidR="16D91061" w:rsidRPr="20C05A43">
              <w:rPr>
                <w:rFonts w:ascii="Helvetica Neue" w:hAnsi="Helvetica Neue"/>
                <w:sz w:val="22"/>
                <w:szCs w:val="22"/>
              </w:rPr>
              <w:t xml:space="preserve"> 908 students in </w:t>
            </w:r>
            <w:r w:rsidR="7A875079" w:rsidRPr="20C05A43">
              <w:rPr>
                <w:rFonts w:ascii="Helvetica Neue" w:hAnsi="Helvetica Neue"/>
                <w:sz w:val="22"/>
                <w:szCs w:val="22"/>
              </w:rPr>
              <w:t>2018-2019 to 858 in 2021-2022</w:t>
            </w:r>
            <w:r w:rsidR="3F1FC5B1" w:rsidRPr="20C05A43">
              <w:rPr>
                <w:rFonts w:ascii="Helvetica Neue" w:hAnsi="Helvetica Neue"/>
                <w:sz w:val="22"/>
                <w:szCs w:val="22"/>
              </w:rPr>
              <w:t xml:space="preserve"> a decline of 5.5%</w:t>
            </w:r>
            <w:r w:rsidR="1E72384A" w:rsidRPr="20C05A43">
              <w:rPr>
                <w:rFonts w:ascii="Helvetica Neue" w:hAnsi="Helvetica Neue"/>
                <w:sz w:val="22"/>
                <w:szCs w:val="22"/>
              </w:rPr>
              <w:t xml:space="preserve">. This is a smaller decline than the whole College is </w:t>
            </w:r>
            <w:r w:rsidR="4E94EEFC" w:rsidRPr="20C05A43">
              <w:rPr>
                <w:rFonts w:ascii="Helvetica Neue" w:hAnsi="Helvetica Neue"/>
                <w:sz w:val="22"/>
                <w:szCs w:val="22"/>
              </w:rPr>
              <w:t>witnessing.</w:t>
            </w: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20C05A43">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lastRenderedPageBreak/>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 xml:space="preserve">would you recommend </w:t>
            </w:r>
            <w:proofErr w:type="gramStart"/>
            <w:r w:rsidRPr="007335EF">
              <w:rPr>
                <w:rFonts w:ascii="Helvetica Neue" w:eastAsia="Avenir Black" w:hAnsi="Helvetica Neue" w:cs="Avenir Black"/>
                <w:b/>
                <w:bCs/>
                <w:sz w:val="22"/>
                <w:szCs w:val="22"/>
              </w:rPr>
              <w:t>to increase</w:t>
            </w:r>
            <w:proofErr w:type="gramEnd"/>
            <w:r w:rsidRPr="007335EF">
              <w:rPr>
                <w:rFonts w:ascii="Helvetica Neue" w:eastAsia="Avenir Black" w:hAnsi="Helvetica Neue" w:cs="Avenir Black"/>
                <w:b/>
                <w:bCs/>
                <w:sz w:val="22"/>
                <w:szCs w:val="22"/>
              </w:rPr>
              <w:t xml:space="preserve"> student enrollment in your department?</w:t>
            </w:r>
          </w:p>
        </w:tc>
      </w:tr>
      <w:tr w:rsidR="00106447" w:rsidRPr="00EC7286" w14:paraId="1E015EB1" w14:textId="77777777" w:rsidTr="20C05A43">
        <w:tc>
          <w:tcPr>
            <w:tcW w:w="9926" w:type="dxa"/>
            <w:shd w:val="clear" w:color="auto" w:fill="FFF2CC" w:themeFill="accent4" w:themeFillTint="33"/>
          </w:tcPr>
          <w:p w14:paraId="4A415269" w14:textId="20A45335" w:rsidR="637DB3DF" w:rsidRDefault="637DB3DF" w:rsidP="20C05A43">
            <w:pPr>
              <w:rPr>
                <w:rFonts w:ascii="Helvetica Neue" w:hAnsi="Helvetica Neue"/>
                <w:sz w:val="22"/>
                <w:szCs w:val="22"/>
              </w:rPr>
            </w:pPr>
            <w:r w:rsidRPr="20C05A43">
              <w:rPr>
                <w:rFonts w:ascii="Helvetica Neue" w:hAnsi="Helvetica Neue"/>
                <w:sz w:val="22"/>
                <w:szCs w:val="22"/>
              </w:rPr>
              <w:t xml:space="preserve">I would like to </w:t>
            </w:r>
            <w:r w:rsidR="00B40CDB">
              <w:rPr>
                <w:rFonts w:ascii="Helvetica Neue" w:hAnsi="Helvetica Neue"/>
                <w:sz w:val="22"/>
                <w:szCs w:val="22"/>
              </w:rPr>
              <w:t xml:space="preserve">see increased </w:t>
            </w:r>
            <w:r w:rsidRPr="20C05A43">
              <w:rPr>
                <w:rFonts w:ascii="Helvetica Neue" w:hAnsi="Helvetica Neue"/>
                <w:sz w:val="22"/>
                <w:szCs w:val="22"/>
              </w:rPr>
              <w:t>advertis</w:t>
            </w:r>
            <w:r w:rsidR="00B40CDB">
              <w:rPr>
                <w:rFonts w:ascii="Helvetica Neue" w:hAnsi="Helvetica Neue"/>
                <w:sz w:val="22"/>
                <w:szCs w:val="22"/>
              </w:rPr>
              <w:t>ements</w:t>
            </w:r>
            <w:r w:rsidRPr="20C05A43">
              <w:rPr>
                <w:rFonts w:ascii="Helvetica Neue" w:hAnsi="Helvetica Neue"/>
                <w:sz w:val="22"/>
                <w:szCs w:val="22"/>
              </w:rPr>
              <w:t xml:space="preserve"> our college more.</w:t>
            </w:r>
          </w:p>
          <w:p w14:paraId="21A3A518" w14:textId="7D7C3800" w:rsidR="00D32B9E" w:rsidRPr="007335EF" w:rsidRDefault="00B40CDB" w:rsidP="00EE3904">
            <w:pPr>
              <w:rPr>
                <w:rFonts w:ascii="Helvetica Neue" w:hAnsi="Helvetica Neue"/>
                <w:sz w:val="22"/>
                <w:szCs w:val="22"/>
              </w:rPr>
            </w:pPr>
            <w:r>
              <w:rPr>
                <w:rFonts w:ascii="Helvetica Neue" w:hAnsi="Helvetica Neue"/>
                <w:sz w:val="22"/>
                <w:szCs w:val="22"/>
              </w:rPr>
              <w:t>Similar we did a few years ago on busses and Bart stations</w:t>
            </w:r>
          </w:p>
        </w:tc>
      </w:tr>
      <w:tr w:rsidR="004420AB" w:rsidRPr="00EC7286" w14:paraId="72FBC7F2" w14:textId="77777777" w:rsidTr="20C05A43">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20C05A43">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20C05A43">
        <w:tc>
          <w:tcPr>
            <w:tcW w:w="9926" w:type="dxa"/>
            <w:shd w:val="clear" w:color="auto" w:fill="FFF2CC" w:themeFill="accent4" w:themeFillTint="33"/>
          </w:tcPr>
          <w:p w14:paraId="35F342F4" w14:textId="2E6AB27E" w:rsidR="004420AB" w:rsidRPr="00ED5CB7" w:rsidRDefault="018F86A6" w:rsidP="004420AB">
            <w:pPr>
              <w:rPr>
                <w:rFonts w:ascii="Helvetica Neue" w:hAnsi="Helvetica Neue"/>
                <w:sz w:val="22"/>
                <w:szCs w:val="22"/>
              </w:rPr>
            </w:pPr>
            <w:r w:rsidRPr="20C05A43">
              <w:rPr>
                <w:rFonts w:ascii="Helvetica Neue" w:hAnsi="Helvetica Neue"/>
                <w:sz w:val="22"/>
                <w:szCs w:val="22"/>
              </w:rPr>
              <w:t xml:space="preserve">We are looking in Summer dual enrollment possibilities. </w:t>
            </w:r>
            <w:r w:rsidR="12B9B1A8" w:rsidRPr="20C05A43">
              <w:rPr>
                <w:rFonts w:ascii="Helvetica Neue" w:hAnsi="Helvetica Neue"/>
                <w:sz w:val="22"/>
                <w:szCs w:val="22"/>
              </w:rPr>
              <w:t>We are also looking at NonCredit courses (See Biotechnology).</w:t>
            </w:r>
            <w:r w:rsidR="5B6E5DA6" w:rsidRPr="20C05A43">
              <w:rPr>
                <w:rFonts w:ascii="Helvetica Neue" w:hAnsi="Helvetica Neue"/>
                <w:sz w:val="22"/>
                <w:szCs w:val="22"/>
              </w:rPr>
              <w:t xml:space="preserve"> </w:t>
            </w:r>
            <w:r w:rsidRPr="20C05A43">
              <w:rPr>
                <w:rFonts w:ascii="Helvetica Neue" w:hAnsi="Helvetica Neue"/>
                <w:sz w:val="22"/>
                <w:szCs w:val="22"/>
              </w:rPr>
              <w:t xml:space="preserve"> </w:t>
            </w:r>
          </w:p>
          <w:p w14:paraId="1CD59E7D" w14:textId="77777777" w:rsidR="004420AB" w:rsidRPr="007335EF" w:rsidRDefault="004420AB" w:rsidP="004420AB">
            <w:pPr>
              <w:rPr>
                <w:rFonts w:ascii="Helvetica Neue" w:hAnsi="Helvetica Neue"/>
                <w:sz w:val="22"/>
                <w:szCs w:val="22"/>
              </w:rPr>
            </w:pPr>
          </w:p>
        </w:tc>
      </w:tr>
      <w:tr w:rsidR="001E0C5C" w:rsidRPr="00EC7286" w14:paraId="30D0AB06" w14:textId="77777777" w:rsidTr="20C05A43">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20C05A43">
        <w:tc>
          <w:tcPr>
            <w:tcW w:w="9926" w:type="dxa"/>
            <w:shd w:val="clear" w:color="auto" w:fill="FFF2CC" w:themeFill="accent4" w:themeFillTint="33"/>
          </w:tcPr>
          <w:p w14:paraId="1C786E2E" w14:textId="0F8CDBD5" w:rsidR="001E0C5C" w:rsidRPr="00ED5CB7" w:rsidRDefault="521B2805" w:rsidP="001E0C5C">
            <w:pPr>
              <w:rPr>
                <w:rFonts w:ascii="Helvetica Neue" w:hAnsi="Helvetica Neue"/>
                <w:sz w:val="22"/>
                <w:szCs w:val="22"/>
              </w:rPr>
            </w:pPr>
            <w:r w:rsidRPr="20C05A43">
              <w:rPr>
                <w:rFonts w:ascii="Helvetica Neue" w:hAnsi="Helvetica Neue"/>
                <w:sz w:val="22"/>
                <w:szCs w:val="22"/>
              </w:rPr>
              <w:t>N/A</w:t>
            </w:r>
            <w:r w:rsidR="18496EE0" w:rsidRPr="20C05A43">
              <w:rPr>
                <w:rFonts w:ascii="Helvetica Neue" w:hAnsi="Helvetica Neue"/>
                <w:sz w:val="22"/>
                <w:szCs w:val="22"/>
              </w:rPr>
              <w:t xml:space="preserve"> I don’t understand this process. Who is reporting to whom?</w:t>
            </w:r>
          </w:p>
          <w:p w14:paraId="23578335" w14:textId="77777777" w:rsidR="001E0C5C" w:rsidRPr="007335EF" w:rsidRDefault="001E0C5C" w:rsidP="001E0C5C">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20C05A43">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20C05A43">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lastRenderedPageBreak/>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20C05A43">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55A8081" w14:textId="1E1AAB2A" w:rsidR="00106447" w:rsidRPr="00091285" w:rsidRDefault="56A98B83" w:rsidP="00FE5757">
            <w:r w:rsidRPr="20C05A43">
              <w:rPr>
                <w:rFonts w:ascii="Helvetica Neue" w:eastAsia="Helvetica Neue" w:hAnsi="Helvetica Neue" w:cs="Helvetica Neue"/>
                <w:sz w:val="22"/>
                <w:szCs w:val="22"/>
              </w:rPr>
              <w:t xml:space="preserve">Gender: In Biology there are about 50% more females enrolled than males. </w:t>
            </w:r>
          </w:p>
          <w:p w14:paraId="6C2E4526" w14:textId="41C8F8AB" w:rsidR="00106447" w:rsidRPr="00091285" w:rsidRDefault="56A98B83" w:rsidP="20C05A43">
            <w:pPr>
              <w:rPr>
                <w:rFonts w:ascii="Helvetica Neue" w:eastAsia="Helvetica Neue" w:hAnsi="Helvetica Neue" w:cs="Helvetica Neue"/>
                <w:sz w:val="22"/>
                <w:szCs w:val="22"/>
              </w:rPr>
            </w:pPr>
            <w:r w:rsidRPr="20C05A43">
              <w:rPr>
                <w:rFonts w:ascii="Helvetica Neue" w:eastAsia="Helvetica Neue" w:hAnsi="Helvetica Neue" w:cs="Helvetica Neue"/>
                <w:sz w:val="22"/>
                <w:szCs w:val="22"/>
              </w:rPr>
              <w:t xml:space="preserve">The completion rate for both sexes is </w:t>
            </w:r>
            <w:r w:rsidR="127B4B2B" w:rsidRPr="20C05A43">
              <w:rPr>
                <w:rFonts w:ascii="Helvetica Neue" w:eastAsia="Helvetica Neue" w:hAnsi="Helvetica Neue" w:cs="Helvetica Neue"/>
                <w:sz w:val="22"/>
                <w:szCs w:val="22"/>
              </w:rPr>
              <w:t>slightly de</w:t>
            </w:r>
            <w:r w:rsidRPr="20C05A43">
              <w:rPr>
                <w:rFonts w:ascii="Helvetica Neue" w:eastAsia="Helvetica Neue" w:hAnsi="Helvetica Neue" w:cs="Helvetica Neue"/>
                <w:sz w:val="22"/>
                <w:szCs w:val="22"/>
              </w:rPr>
              <w:t xml:space="preserve">creasing, however the difference between Female and Male is diminishing e.g., </w:t>
            </w:r>
            <w:r w:rsidR="2A0C0C91" w:rsidRPr="20C05A43">
              <w:rPr>
                <w:rFonts w:ascii="Helvetica Neue" w:eastAsia="Helvetica Neue" w:hAnsi="Helvetica Neue" w:cs="Helvetica Neue"/>
                <w:sz w:val="22"/>
                <w:szCs w:val="22"/>
              </w:rPr>
              <w:t>8</w:t>
            </w:r>
            <w:r w:rsidR="7CC34EDC" w:rsidRPr="20C05A43">
              <w:rPr>
                <w:rFonts w:ascii="Helvetica Neue" w:eastAsia="Helvetica Neue" w:hAnsi="Helvetica Neue" w:cs="Helvetica Neue"/>
                <w:sz w:val="22"/>
                <w:szCs w:val="22"/>
              </w:rPr>
              <w:t>7</w:t>
            </w:r>
            <w:r w:rsidRPr="20C05A43">
              <w:rPr>
                <w:rFonts w:ascii="Helvetica Neue" w:eastAsia="Helvetica Neue" w:hAnsi="Helvetica Neue" w:cs="Helvetica Neue"/>
                <w:sz w:val="22"/>
                <w:szCs w:val="22"/>
              </w:rPr>
              <w:t>.</w:t>
            </w:r>
            <w:r w:rsidR="16DBAEE8" w:rsidRPr="20C05A43">
              <w:rPr>
                <w:rFonts w:ascii="Helvetica Neue" w:eastAsia="Helvetica Neue" w:hAnsi="Helvetica Neue" w:cs="Helvetica Neue"/>
                <w:sz w:val="22"/>
                <w:szCs w:val="22"/>
              </w:rPr>
              <w:t>9</w:t>
            </w:r>
            <w:r w:rsidRPr="20C05A43">
              <w:rPr>
                <w:rFonts w:ascii="Helvetica Neue" w:eastAsia="Helvetica Neue" w:hAnsi="Helvetica Neue" w:cs="Helvetica Neue"/>
                <w:sz w:val="22"/>
                <w:szCs w:val="22"/>
              </w:rPr>
              <w:t xml:space="preserve">% Males </w:t>
            </w:r>
            <w:r w:rsidR="1480A044" w:rsidRPr="20C05A43">
              <w:rPr>
                <w:rFonts w:ascii="Helvetica Neue" w:eastAsia="Helvetica Neue" w:hAnsi="Helvetica Neue" w:cs="Helvetica Neue"/>
                <w:sz w:val="22"/>
                <w:szCs w:val="22"/>
              </w:rPr>
              <w:t>84</w:t>
            </w:r>
            <w:r w:rsidRPr="20C05A43">
              <w:rPr>
                <w:rFonts w:ascii="Helvetica Neue" w:eastAsia="Helvetica Neue" w:hAnsi="Helvetica Neue" w:cs="Helvetica Neue"/>
                <w:sz w:val="22"/>
                <w:szCs w:val="22"/>
              </w:rPr>
              <w:t>.</w:t>
            </w:r>
            <w:r w:rsidR="6A8E68A0" w:rsidRPr="20C05A43">
              <w:rPr>
                <w:rFonts w:ascii="Helvetica Neue" w:eastAsia="Helvetica Neue" w:hAnsi="Helvetica Neue" w:cs="Helvetica Neue"/>
                <w:sz w:val="22"/>
                <w:szCs w:val="22"/>
              </w:rPr>
              <w:t>4</w:t>
            </w:r>
            <w:r w:rsidRPr="20C05A43">
              <w:rPr>
                <w:rFonts w:ascii="Helvetica Neue" w:eastAsia="Helvetica Neue" w:hAnsi="Helvetica Neue" w:cs="Helvetica Neue"/>
                <w:sz w:val="22"/>
                <w:szCs w:val="22"/>
              </w:rPr>
              <w:t>% Females in 201</w:t>
            </w:r>
            <w:r w:rsidR="6E935604" w:rsidRPr="20C05A43">
              <w:rPr>
                <w:rFonts w:ascii="Helvetica Neue" w:eastAsia="Helvetica Neue" w:hAnsi="Helvetica Neue" w:cs="Helvetica Neue"/>
                <w:sz w:val="22"/>
                <w:szCs w:val="22"/>
              </w:rPr>
              <w:t>9</w:t>
            </w:r>
            <w:r w:rsidRPr="20C05A43">
              <w:rPr>
                <w:rFonts w:ascii="Helvetica Neue" w:eastAsia="Helvetica Neue" w:hAnsi="Helvetica Neue" w:cs="Helvetica Neue"/>
                <w:sz w:val="22"/>
                <w:szCs w:val="22"/>
              </w:rPr>
              <w:t>-</w:t>
            </w:r>
            <w:r w:rsidR="6CBBDA95" w:rsidRPr="20C05A43">
              <w:rPr>
                <w:rFonts w:ascii="Helvetica Neue" w:eastAsia="Helvetica Neue" w:hAnsi="Helvetica Neue" w:cs="Helvetica Neue"/>
                <w:sz w:val="22"/>
                <w:szCs w:val="22"/>
              </w:rPr>
              <w:t>2020</w:t>
            </w:r>
            <w:r w:rsidRPr="20C05A43">
              <w:rPr>
                <w:rFonts w:ascii="Helvetica Neue" w:eastAsia="Helvetica Neue" w:hAnsi="Helvetica Neue" w:cs="Helvetica Neue"/>
                <w:sz w:val="22"/>
                <w:szCs w:val="22"/>
              </w:rPr>
              <w:t xml:space="preserve"> to </w:t>
            </w:r>
            <w:r w:rsidR="01B1AFB9" w:rsidRPr="20C05A43">
              <w:rPr>
                <w:rFonts w:ascii="Helvetica Neue" w:eastAsia="Helvetica Neue" w:hAnsi="Helvetica Neue" w:cs="Helvetica Neue"/>
                <w:sz w:val="22"/>
                <w:szCs w:val="22"/>
              </w:rPr>
              <w:t>7</w:t>
            </w:r>
            <w:r w:rsidR="5C194053" w:rsidRPr="20C05A43">
              <w:rPr>
                <w:rFonts w:ascii="Helvetica Neue" w:eastAsia="Helvetica Neue" w:hAnsi="Helvetica Neue" w:cs="Helvetica Neue"/>
                <w:sz w:val="22"/>
                <w:szCs w:val="22"/>
              </w:rPr>
              <w:t>1</w:t>
            </w:r>
            <w:r w:rsidRPr="20C05A43">
              <w:rPr>
                <w:rFonts w:ascii="Helvetica Neue" w:eastAsia="Helvetica Neue" w:hAnsi="Helvetica Neue" w:cs="Helvetica Neue"/>
                <w:sz w:val="22"/>
                <w:szCs w:val="22"/>
              </w:rPr>
              <w:t>.</w:t>
            </w:r>
            <w:r w:rsidR="1497A491" w:rsidRPr="20C05A43">
              <w:rPr>
                <w:rFonts w:ascii="Helvetica Neue" w:eastAsia="Helvetica Neue" w:hAnsi="Helvetica Neue" w:cs="Helvetica Neue"/>
                <w:sz w:val="22"/>
                <w:szCs w:val="22"/>
              </w:rPr>
              <w:t>6</w:t>
            </w:r>
            <w:r w:rsidRPr="20C05A43">
              <w:rPr>
                <w:rFonts w:ascii="Helvetica Neue" w:eastAsia="Helvetica Neue" w:hAnsi="Helvetica Neue" w:cs="Helvetica Neue"/>
                <w:sz w:val="22"/>
                <w:szCs w:val="22"/>
              </w:rPr>
              <w:t>% Males and 7</w:t>
            </w:r>
            <w:r w:rsidR="35019DAA" w:rsidRPr="20C05A43">
              <w:rPr>
                <w:rFonts w:ascii="Helvetica Neue" w:eastAsia="Helvetica Neue" w:hAnsi="Helvetica Neue" w:cs="Helvetica Neue"/>
                <w:sz w:val="22"/>
                <w:szCs w:val="22"/>
              </w:rPr>
              <w:t>9</w:t>
            </w:r>
            <w:r w:rsidRPr="20C05A43">
              <w:rPr>
                <w:rFonts w:ascii="Helvetica Neue" w:eastAsia="Helvetica Neue" w:hAnsi="Helvetica Neue" w:cs="Helvetica Neue"/>
                <w:sz w:val="22"/>
                <w:szCs w:val="22"/>
              </w:rPr>
              <w:t>.</w:t>
            </w:r>
            <w:r w:rsidR="70E593DA" w:rsidRPr="20C05A43">
              <w:rPr>
                <w:rFonts w:ascii="Helvetica Neue" w:eastAsia="Helvetica Neue" w:hAnsi="Helvetica Neue" w:cs="Helvetica Neue"/>
                <w:sz w:val="22"/>
                <w:szCs w:val="22"/>
              </w:rPr>
              <w:t>9</w:t>
            </w:r>
            <w:r w:rsidR="609AB7C1" w:rsidRPr="20C05A43">
              <w:rPr>
                <w:rFonts w:ascii="Helvetica Neue" w:eastAsia="Helvetica Neue" w:hAnsi="Helvetica Neue" w:cs="Helvetica Neue"/>
                <w:sz w:val="22"/>
                <w:szCs w:val="22"/>
              </w:rPr>
              <w:t>%</w:t>
            </w:r>
            <w:r w:rsidRPr="20C05A43">
              <w:rPr>
                <w:rFonts w:ascii="Helvetica Neue" w:eastAsia="Helvetica Neue" w:hAnsi="Helvetica Neue" w:cs="Helvetica Neue"/>
                <w:sz w:val="22"/>
                <w:szCs w:val="22"/>
              </w:rPr>
              <w:t xml:space="preserve"> Females</w:t>
            </w:r>
            <w:r w:rsidR="4DE5C89D" w:rsidRPr="20C05A43">
              <w:rPr>
                <w:rFonts w:ascii="Helvetica Neue" w:eastAsia="Helvetica Neue" w:hAnsi="Helvetica Neue" w:cs="Helvetica Neue"/>
                <w:sz w:val="22"/>
                <w:szCs w:val="22"/>
              </w:rPr>
              <w:t xml:space="preserve"> in</w:t>
            </w:r>
            <w:r w:rsidR="339ED19A" w:rsidRPr="20C05A43">
              <w:rPr>
                <w:rFonts w:ascii="Helvetica Neue" w:eastAsia="Helvetica Neue" w:hAnsi="Helvetica Neue" w:cs="Helvetica Neue"/>
                <w:sz w:val="22"/>
                <w:szCs w:val="22"/>
              </w:rPr>
              <w:t xml:space="preserve"> 2021-2022</w:t>
            </w:r>
            <w:r w:rsidRPr="20C05A43">
              <w:rPr>
                <w:rFonts w:ascii="Helvetica Neue" w:eastAsia="Helvetica Neue" w:hAnsi="Helvetica Neue" w:cs="Helvetica Neue"/>
                <w:sz w:val="22"/>
                <w:szCs w:val="22"/>
              </w:rPr>
              <w:t>.</w:t>
            </w:r>
          </w:p>
          <w:p w14:paraId="41FF28BB" w14:textId="006B4F7A" w:rsidR="00106447" w:rsidRPr="00091285" w:rsidRDefault="56A98B83" w:rsidP="00FE5757">
            <w:r w:rsidRPr="20C05A43">
              <w:rPr>
                <w:rFonts w:ascii="Helvetica Neue" w:eastAsia="Helvetica Neue" w:hAnsi="Helvetica Neue" w:cs="Helvetica Neue"/>
                <w:sz w:val="22"/>
                <w:szCs w:val="22"/>
              </w:rPr>
              <w:t xml:space="preserve">Age: Over the last three years the </w:t>
            </w:r>
            <w:r w:rsidR="6933BE60" w:rsidRPr="20C05A43">
              <w:rPr>
                <w:rFonts w:ascii="Helvetica Neue" w:eastAsia="Helvetica Neue" w:hAnsi="Helvetica Neue" w:cs="Helvetica Neue"/>
                <w:sz w:val="22"/>
                <w:szCs w:val="22"/>
              </w:rPr>
              <w:t>16-18 years old group</w:t>
            </w:r>
            <w:r w:rsidRPr="20C05A43">
              <w:rPr>
                <w:rFonts w:ascii="Helvetica Neue" w:eastAsia="Helvetica Neue" w:hAnsi="Helvetica Neue" w:cs="Helvetica Neue"/>
                <w:sz w:val="22"/>
                <w:szCs w:val="22"/>
              </w:rPr>
              <w:t xml:space="preserve"> showed an increase in completion and retention. The other age groups fluctuated.</w:t>
            </w:r>
          </w:p>
          <w:p w14:paraId="57B258FA" w14:textId="0F11F403" w:rsidR="00106447" w:rsidRPr="00091285" w:rsidRDefault="08E017E2" w:rsidP="20C05A43">
            <w:pPr>
              <w:rPr>
                <w:rFonts w:ascii="Helvetica Neue" w:eastAsia="Helvetica Neue" w:hAnsi="Helvetica Neue" w:cs="Helvetica Neue"/>
                <w:sz w:val="22"/>
                <w:szCs w:val="22"/>
              </w:rPr>
            </w:pPr>
            <w:r w:rsidRPr="20C05A43">
              <w:rPr>
                <w:rFonts w:ascii="Helvetica Neue" w:eastAsia="Helvetica Neue" w:hAnsi="Helvetica Neue" w:cs="Helvetica Neue"/>
                <w:sz w:val="22"/>
                <w:szCs w:val="22"/>
              </w:rPr>
              <w:t>Ethnicity:</w:t>
            </w:r>
            <w:r w:rsidR="2C1DA8E9" w:rsidRPr="20C05A43">
              <w:rPr>
                <w:rFonts w:ascii="Helvetica Neue" w:eastAsia="Helvetica Neue" w:hAnsi="Helvetica Neue" w:cs="Helvetica Neue"/>
                <w:sz w:val="22"/>
                <w:szCs w:val="22"/>
              </w:rPr>
              <w:t xml:space="preserve"> A slight decrease in completion of the Asian population is seen from </w:t>
            </w:r>
            <w:r w:rsidR="60B2C74D" w:rsidRPr="20C05A43">
              <w:rPr>
                <w:rFonts w:ascii="Helvetica Neue" w:eastAsia="Helvetica Neue" w:hAnsi="Helvetica Neue" w:cs="Helvetica Neue"/>
                <w:sz w:val="22"/>
                <w:szCs w:val="22"/>
              </w:rPr>
              <w:t>9</w:t>
            </w:r>
            <w:r w:rsidR="2FA03D43" w:rsidRPr="20C05A43">
              <w:rPr>
                <w:rFonts w:ascii="Helvetica Neue" w:eastAsia="Helvetica Neue" w:hAnsi="Helvetica Neue" w:cs="Helvetica Neue"/>
                <w:sz w:val="22"/>
                <w:szCs w:val="22"/>
              </w:rPr>
              <w:t>0</w:t>
            </w:r>
            <w:r w:rsidR="60B2C74D" w:rsidRPr="20C05A43">
              <w:rPr>
                <w:rFonts w:ascii="Helvetica Neue" w:eastAsia="Helvetica Neue" w:hAnsi="Helvetica Neue" w:cs="Helvetica Neue"/>
                <w:sz w:val="22"/>
                <w:szCs w:val="22"/>
              </w:rPr>
              <w:t>% to 8</w:t>
            </w:r>
            <w:r w:rsidR="50BD0C06" w:rsidRPr="20C05A43">
              <w:rPr>
                <w:rFonts w:ascii="Helvetica Neue" w:eastAsia="Helvetica Neue" w:hAnsi="Helvetica Neue" w:cs="Helvetica Neue"/>
                <w:sz w:val="22"/>
                <w:szCs w:val="22"/>
              </w:rPr>
              <w:t>5</w:t>
            </w:r>
            <w:r w:rsidR="60B2C74D" w:rsidRPr="20C05A43">
              <w:rPr>
                <w:rFonts w:ascii="Helvetica Neue" w:eastAsia="Helvetica Neue" w:hAnsi="Helvetica Neue" w:cs="Helvetica Neue"/>
                <w:sz w:val="22"/>
                <w:szCs w:val="22"/>
              </w:rPr>
              <w:t>.</w:t>
            </w:r>
            <w:r w:rsidR="05B16BFF" w:rsidRPr="20C05A43">
              <w:rPr>
                <w:rFonts w:ascii="Helvetica Neue" w:eastAsia="Helvetica Neue" w:hAnsi="Helvetica Neue" w:cs="Helvetica Neue"/>
                <w:sz w:val="22"/>
                <w:szCs w:val="22"/>
              </w:rPr>
              <w:t>9</w:t>
            </w:r>
            <w:r w:rsidR="58E12B63" w:rsidRPr="20C05A43">
              <w:rPr>
                <w:rFonts w:ascii="Helvetica Neue" w:eastAsia="Helvetica Neue" w:hAnsi="Helvetica Neue" w:cs="Helvetica Neue"/>
                <w:sz w:val="22"/>
                <w:szCs w:val="22"/>
              </w:rPr>
              <w:t>% over</w:t>
            </w:r>
            <w:r w:rsidR="496C0218" w:rsidRPr="20C05A43">
              <w:rPr>
                <w:rFonts w:ascii="Helvetica Neue" w:eastAsia="Helvetica Neue" w:hAnsi="Helvetica Neue" w:cs="Helvetica Neue"/>
                <w:sz w:val="22"/>
                <w:szCs w:val="22"/>
              </w:rPr>
              <w:t xml:space="preserve"> the last 3 years. Also, for the African American population </w:t>
            </w:r>
            <w:r w:rsidR="01AA50E6" w:rsidRPr="20C05A43">
              <w:rPr>
                <w:rFonts w:ascii="Helvetica Neue" w:eastAsia="Helvetica Neue" w:hAnsi="Helvetica Neue" w:cs="Helvetica Neue"/>
                <w:sz w:val="22"/>
                <w:szCs w:val="22"/>
              </w:rPr>
              <w:t>we see a slight decrease</w:t>
            </w:r>
            <w:r w:rsidR="68A8D046" w:rsidRPr="20C05A43">
              <w:rPr>
                <w:rFonts w:ascii="Helvetica Neue" w:eastAsia="Helvetica Neue" w:hAnsi="Helvetica Neue" w:cs="Helvetica Neue"/>
                <w:sz w:val="22"/>
                <w:szCs w:val="22"/>
              </w:rPr>
              <w:t xml:space="preserve"> from</w:t>
            </w:r>
            <w:r w:rsidR="01AA50E6" w:rsidRPr="20C05A43">
              <w:rPr>
                <w:rFonts w:ascii="Helvetica Neue" w:eastAsia="Helvetica Neue" w:hAnsi="Helvetica Neue" w:cs="Helvetica Neue"/>
                <w:sz w:val="22"/>
                <w:szCs w:val="22"/>
              </w:rPr>
              <w:t xml:space="preserve"> </w:t>
            </w:r>
            <w:r w:rsidR="15594640" w:rsidRPr="20C05A43">
              <w:rPr>
                <w:rFonts w:ascii="Helvetica Neue" w:eastAsia="Helvetica Neue" w:hAnsi="Helvetica Neue" w:cs="Helvetica Neue"/>
                <w:sz w:val="22"/>
                <w:szCs w:val="22"/>
              </w:rPr>
              <w:t xml:space="preserve">79.1% </w:t>
            </w:r>
            <w:r w:rsidR="02A9B536" w:rsidRPr="20C05A43">
              <w:rPr>
                <w:rFonts w:ascii="Helvetica Neue" w:eastAsia="Helvetica Neue" w:hAnsi="Helvetica Neue" w:cs="Helvetica Neue"/>
                <w:sz w:val="22"/>
                <w:szCs w:val="22"/>
              </w:rPr>
              <w:t>to</w:t>
            </w:r>
            <w:r w:rsidR="788D84E4" w:rsidRPr="20C05A43">
              <w:rPr>
                <w:rFonts w:ascii="Helvetica Neue" w:eastAsia="Helvetica Neue" w:hAnsi="Helvetica Neue" w:cs="Helvetica Neue"/>
                <w:sz w:val="22"/>
                <w:szCs w:val="22"/>
              </w:rPr>
              <w:t xml:space="preserve"> 7</w:t>
            </w:r>
            <w:r w:rsidR="0F76E1FE" w:rsidRPr="20C05A43">
              <w:rPr>
                <w:rFonts w:ascii="Helvetica Neue" w:eastAsia="Helvetica Neue" w:hAnsi="Helvetica Neue" w:cs="Helvetica Neue"/>
                <w:sz w:val="22"/>
                <w:szCs w:val="22"/>
              </w:rPr>
              <w:t>2</w:t>
            </w:r>
            <w:r w:rsidR="788D84E4" w:rsidRPr="20C05A43">
              <w:rPr>
                <w:rFonts w:ascii="Helvetica Neue" w:eastAsia="Helvetica Neue" w:hAnsi="Helvetica Neue" w:cs="Helvetica Neue"/>
                <w:sz w:val="22"/>
                <w:szCs w:val="22"/>
              </w:rPr>
              <w:t>.</w:t>
            </w:r>
            <w:r w:rsidR="13A20F40" w:rsidRPr="20C05A43">
              <w:rPr>
                <w:rFonts w:ascii="Helvetica Neue" w:eastAsia="Helvetica Neue" w:hAnsi="Helvetica Neue" w:cs="Helvetica Neue"/>
                <w:sz w:val="22"/>
                <w:szCs w:val="22"/>
              </w:rPr>
              <w:t>5</w:t>
            </w:r>
            <w:r w:rsidR="788D84E4" w:rsidRPr="20C05A43">
              <w:rPr>
                <w:rFonts w:ascii="Helvetica Neue" w:eastAsia="Helvetica Neue" w:hAnsi="Helvetica Neue" w:cs="Helvetica Neue"/>
                <w:sz w:val="22"/>
                <w:szCs w:val="22"/>
              </w:rPr>
              <w:t xml:space="preserve">% </w:t>
            </w:r>
            <w:r w:rsidR="20A10D00" w:rsidRPr="20C05A43">
              <w:rPr>
                <w:rFonts w:ascii="Helvetica Neue" w:eastAsia="Helvetica Neue" w:hAnsi="Helvetica Neue" w:cs="Helvetica Neue"/>
                <w:sz w:val="22"/>
                <w:szCs w:val="22"/>
              </w:rPr>
              <w:t>f</w:t>
            </w:r>
            <w:r w:rsidR="3DAA5547" w:rsidRPr="20C05A43">
              <w:rPr>
                <w:rFonts w:ascii="Helvetica Neue" w:eastAsia="Helvetica Neue" w:hAnsi="Helvetica Neue" w:cs="Helvetica Neue"/>
                <w:sz w:val="22"/>
                <w:szCs w:val="22"/>
              </w:rPr>
              <w:t>o</w:t>
            </w:r>
            <w:r w:rsidR="20A10D00" w:rsidRPr="20C05A43">
              <w:rPr>
                <w:rFonts w:ascii="Helvetica Neue" w:eastAsia="Helvetica Neue" w:hAnsi="Helvetica Neue" w:cs="Helvetica Neue"/>
                <w:sz w:val="22"/>
                <w:szCs w:val="22"/>
              </w:rPr>
              <w:t>r</w:t>
            </w:r>
            <w:r w:rsidR="3DAA5547" w:rsidRPr="20C05A43">
              <w:rPr>
                <w:rFonts w:ascii="Helvetica Neue" w:eastAsia="Helvetica Neue" w:hAnsi="Helvetica Neue" w:cs="Helvetica Neue"/>
                <w:sz w:val="22"/>
                <w:szCs w:val="22"/>
              </w:rPr>
              <w:t xml:space="preserve"> completion</w:t>
            </w:r>
            <w:r w:rsidR="0532F82E" w:rsidRPr="20C05A43">
              <w:rPr>
                <w:rFonts w:ascii="Helvetica Neue" w:eastAsia="Helvetica Neue" w:hAnsi="Helvetica Neue" w:cs="Helvetica Neue"/>
                <w:sz w:val="22"/>
                <w:szCs w:val="22"/>
              </w:rPr>
              <w:t>.</w:t>
            </w:r>
            <w:r w:rsidR="7B8117E6" w:rsidRPr="20C05A43">
              <w:rPr>
                <w:rFonts w:ascii="Helvetica Neue" w:eastAsia="Helvetica Neue" w:hAnsi="Helvetica Neue" w:cs="Helvetica Neue"/>
                <w:sz w:val="22"/>
                <w:szCs w:val="22"/>
              </w:rPr>
              <w:t xml:space="preserve"> For the Hispanic population we see a slight increase</w:t>
            </w:r>
            <w:r w:rsidR="35F89A8D" w:rsidRPr="20C05A43">
              <w:rPr>
                <w:rFonts w:ascii="Helvetica Neue" w:eastAsia="Helvetica Neue" w:hAnsi="Helvetica Neue" w:cs="Helvetica Neue"/>
                <w:sz w:val="22"/>
                <w:szCs w:val="22"/>
              </w:rPr>
              <w:t xml:space="preserve"> in completion </w:t>
            </w:r>
            <w:r w:rsidR="400F91B8" w:rsidRPr="20C05A43">
              <w:rPr>
                <w:rFonts w:ascii="Helvetica Neue" w:eastAsia="Helvetica Neue" w:hAnsi="Helvetica Neue" w:cs="Helvetica Neue"/>
                <w:sz w:val="22"/>
                <w:szCs w:val="22"/>
              </w:rPr>
              <w:t>from 74</w:t>
            </w:r>
            <w:r w:rsidR="7B8117E6" w:rsidRPr="20C05A43">
              <w:rPr>
                <w:rFonts w:ascii="Helvetica Neue" w:eastAsia="Helvetica Neue" w:hAnsi="Helvetica Neue" w:cs="Helvetica Neue"/>
                <w:sz w:val="22"/>
                <w:szCs w:val="22"/>
              </w:rPr>
              <w:t>% to 75.7%</w:t>
            </w:r>
            <w:r w:rsidR="7E3E7DE1" w:rsidRPr="20C05A43">
              <w:rPr>
                <w:rFonts w:ascii="Helvetica Neue" w:eastAsia="Helvetica Neue" w:hAnsi="Helvetica Neue" w:cs="Helvetica Neue"/>
                <w:sz w:val="22"/>
                <w:szCs w:val="22"/>
              </w:rPr>
              <w:t>.</w:t>
            </w:r>
            <w:r w:rsidR="0A0A76C4" w:rsidRPr="20C05A43">
              <w:rPr>
                <w:rFonts w:ascii="Helvetica Neue" w:eastAsia="Helvetica Neue" w:hAnsi="Helvetica Neue" w:cs="Helvetica Neue"/>
                <w:sz w:val="22"/>
                <w:szCs w:val="22"/>
              </w:rPr>
              <w:t xml:space="preserve"> </w:t>
            </w:r>
            <w:r w:rsidR="1A0AC70E" w:rsidRPr="20C05A43">
              <w:rPr>
                <w:rFonts w:ascii="Helvetica Neue" w:eastAsia="Helvetica Neue" w:hAnsi="Helvetica Neue" w:cs="Helvetica Neue"/>
                <w:sz w:val="22"/>
                <w:szCs w:val="22"/>
              </w:rPr>
              <w:t>The white population decreased drastically in completion rate over the last 3 years from 93.9</w:t>
            </w:r>
            <w:r w:rsidR="0496DB2C" w:rsidRPr="20C05A43">
              <w:rPr>
                <w:rFonts w:ascii="Helvetica Neue" w:eastAsia="Helvetica Neue" w:hAnsi="Helvetica Neue" w:cs="Helvetica Neue"/>
                <w:sz w:val="22"/>
                <w:szCs w:val="22"/>
              </w:rPr>
              <w:t>% to 79.1%.</w:t>
            </w:r>
          </w:p>
          <w:p w14:paraId="2F9F0E52" w14:textId="16842FE6" w:rsidR="00106447" w:rsidRPr="00091285" w:rsidRDefault="00106447" w:rsidP="20C05A43">
            <w:pPr>
              <w:rPr>
                <w:rFonts w:ascii="Helvetica Neue" w:eastAsia="Avenir" w:hAnsi="Helvetica Neue" w:cs="Avenir"/>
                <w:b/>
                <w:bCs/>
                <w:sz w:val="22"/>
                <w:szCs w:val="22"/>
              </w:rPr>
            </w:pP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20C05A43">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20C05A43">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2172B6" w14:textId="44678068" w:rsidR="00BD4CA3" w:rsidRDefault="605FC686" w:rsidP="20C05A43">
            <w:pPr>
              <w:rPr>
                <w:rFonts w:ascii="Helvetica Neue" w:eastAsia="Avenir" w:hAnsi="Helvetica Neue" w:cs="Avenir"/>
                <w:sz w:val="22"/>
                <w:szCs w:val="22"/>
              </w:rPr>
            </w:pPr>
            <w:r w:rsidRPr="20C05A43">
              <w:rPr>
                <w:rFonts w:ascii="Helvetica Neue" w:eastAsia="Avenir" w:hAnsi="Helvetica Neue" w:cs="Avenir"/>
                <w:sz w:val="22"/>
                <w:szCs w:val="22"/>
              </w:rPr>
              <w:t xml:space="preserve">After fine tuning of our equity reducing learning techniques, we are planning </w:t>
            </w:r>
            <w:r w:rsidR="7D3D49FB" w:rsidRPr="20C05A43">
              <w:rPr>
                <w:rFonts w:ascii="Helvetica Neue" w:eastAsia="Avenir" w:hAnsi="Helvetica Neue" w:cs="Avenir"/>
                <w:sz w:val="22"/>
                <w:szCs w:val="22"/>
              </w:rPr>
              <w:t xml:space="preserve">workshops </w:t>
            </w:r>
            <w:r w:rsidR="59D986F7" w:rsidRPr="20C05A43">
              <w:rPr>
                <w:rFonts w:ascii="Helvetica Neue" w:eastAsia="Avenir" w:hAnsi="Helvetica Neue" w:cs="Avenir"/>
                <w:sz w:val="22"/>
                <w:szCs w:val="22"/>
              </w:rPr>
              <w:t xml:space="preserve">in </w:t>
            </w:r>
            <w:r w:rsidR="7D3D49FB" w:rsidRPr="20C05A43">
              <w:rPr>
                <w:rFonts w:ascii="Helvetica Neue" w:eastAsia="Avenir" w:hAnsi="Helvetica Neue" w:cs="Avenir"/>
                <w:sz w:val="22"/>
                <w:szCs w:val="22"/>
              </w:rPr>
              <w:t>our department.</w:t>
            </w:r>
          </w:p>
          <w:p w14:paraId="56584121" w14:textId="4B74CE76" w:rsidR="008B4402" w:rsidRPr="00091285" w:rsidRDefault="008B4402" w:rsidP="00FE5757">
            <w:pPr>
              <w:rPr>
                <w:rFonts w:ascii="Helvetica Neue" w:eastAsia="Avenir" w:hAnsi="Helvetica Neue" w:cs="Avenir"/>
                <w:b/>
                <w:bCs/>
                <w:sz w:val="22"/>
                <w:szCs w:val="22"/>
              </w:rPr>
            </w:pPr>
          </w:p>
        </w:tc>
      </w:tr>
      <w:tr w:rsidR="00106447" w:rsidRPr="007335EF" w14:paraId="162970EF" w14:textId="77777777" w:rsidTr="20C05A43">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2"/>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2"/>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9"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20C05A43">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3F383701" w:rsidR="00106447" w:rsidRPr="0066398F" w:rsidRDefault="014B6F4B" w:rsidP="20C05A43">
            <w:pPr>
              <w:rPr>
                <w:rFonts w:ascii="Times" w:hAnsi="Times" w:cstheme="minorBidi"/>
              </w:rPr>
            </w:pPr>
            <w:r w:rsidRPr="20C05A43">
              <w:rPr>
                <w:rFonts w:ascii="Times" w:hAnsi="Times" w:cstheme="minorBidi"/>
              </w:rPr>
              <w:t>The labs were a disaster during the pan</w:t>
            </w:r>
            <w:r w:rsidR="1634342E" w:rsidRPr="20C05A43">
              <w:rPr>
                <w:rFonts w:ascii="Times" w:hAnsi="Times" w:cstheme="minorBidi"/>
              </w:rPr>
              <w:t>demic. Biotech and Biol-1A produced home kits for students to do certain labs at home</w:t>
            </w:r>
            <w:r w:rsidR="75F56F70" w:rsidRPr="20C05A43">
              <w:rPr>
                <w:rFonts w:ascii="Times" w:hAnsi="Times" w:cstheme="minorBidi"/>
              </w:rPr>
              <w:t xml:space="preserve">. This was </w:t>
            </w:r>
            <w:r w:rsidR="4074869E" w:rsidRPr="20C05A43">
              <w:rPr>
                <w:rFonts w:ascii="Times" w:hAnsi="Times" w:cstheme="minorBidi"/>
              </w:rPr>
              <w:t>successful</w:t>
            </w:r>
            <w:r w:rsidR="75F56F70" w:rsidRPr="20C05A43">
              <w:rPr>
                <w:rFonts w:ascii="Times" w:hAnsi="Times" w:cstheme="minorBidi"/>
              </w:rPr>
              <w:t xml:space="preserve">. Coming back to in person labs it became clear that we needed to put a lot of time </w:t>
            </w:r>
            <w:r w:rsidR="5E6BDE68" w:rsidRPr="20C05A43">
              <w:rPr>
                <w:rFonts w:ascii="Times" w:hAnsi="Times" w:cstheme="minorBidi"/>
              </w:rPr>
              <w:t>into</w:t>
            </w:r>
            <w:r w:rsidR="75F56F70" w:rsidRPr="20C05A43">
              <w:rPr>
                <w:rFonts w:ascii="Times" w:hAnsi="Times" w:cstheme="minorBidi"/>
              </w:rPr>
              <w:t xml:space="preserve"> ins</w:t>
            </w:r>
            <w:r w:rsidR="64BFE413" w:rsidRPr="20C05A43">
              <w:rPr>
                <w:rFonts w:ascii="Times" w:hAnsi="Times" w:cstheme="minorBidi"/>
              </w:rPr>
              <w:t>tructing certain lab techniques</w:t>
            </w:r>
            <w:r w:rsidR="04FBD012" w:rsidRPr="20C05A43">
              <w:rPr>
                <w:rFonts w:ascii="Times" w:hAnsi="Times" w:cstheme="minorBidi"/>
              </w:rPr>
              <w:t xml:space="preserve">. We are </w:t>
            </w:r>
            <w:r w:rsidR="64D274CC" w:rsidRPr="20C05A43">
              <w:rPr>
                <w:rFonts w:ascii="Times" w:hAnsi="Times" w:cstheme="minorBidi"/>
              </w:rPr>
              <w:t xml:space="preserve">going </w:t>
            </w:r>
            <w:r w:rsidR="04FBD012" w:rsidRPr="20C05A43">
              <w:rPr>
                <w:rFonts w:ascii="Times" w:hAnsi="Times" w:cstheme="minorBidi"/>
              </w:rPr>
              <w:t xml:space="preserve">back to in person </w:t>
            </w:r>
            <w:r w:rsidR="574463FC" w:rsidRPr="20C05A43">
              <w:rPr>
                <w:rFonts w:ascii="Times" w:hAnsi="Times" w:cstheme="minorBidi"/>
              </w:rPr>
              <w:t>teaching,</w:t>
            </w:r>
            <w:r w:rsidR="04FBD012" w:rsidRPr="20C05A43">
              <w:rPr>
                <w:rFonts w:ascii="Times" w:hAnsi="Times" w:cstheme="minorBidi"/>
              </w:rPr>
              <w:t xml:space="preserve"> especially with the lab courses</w:t>
            </w:r>
            <w:r w:rsidR="2C4886FA" w:rsidRPr="20C05A43">
              <w:rPr>
                <w:rFonts w:ascii="Times" w:hAnsi="Times" w:cstheme="minorBidi"/>
              </w:rPr>
              <w:t>.</w:t>
            </w: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20C05A43">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20C05A43">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6F8FA51C" w:rsidR="00106447" w:rsidRPr="00091285" w:rsidRDefault="5BBE0965" w:rsidP="20C05A43">
            <w:pPr>
              <w:rPr>
                <w:rFonts w:ascii="Helvetica Neue" w:eastAsia="Avenir" w:hAnsi="Helvetica Neue" w:cs="Avenir"/>
                <w:sz w:val="22"/>
                <w:szCs w:val="22"/>
              </w:rPr>
            </w:pPr>
            <w:r w:rsidRPr="20C05A43">
              <w:rPr>
                <w:rFonts w:ascii="Helvetica Neue" w:eastAsia="Avenir" w:hAnsi="Helvetica Neue" w:cs="Avenir"/>
                <w:sz w:val="22"/>
                <w:szCs w:val="22"/>
              </w:rPr>
              <w:t xml:space="preserve">The Hispanic group college wide shows a slight decrease in </w:t>
            </w:r>
            <w:r w:rsidR="37674B95" w:rsidRPr="20C05A43">
              <w:rPr>
                <w:rFonts w:ascii="Helvetica Neue" w:eastAsia="Avenir" w:hAnsi="Helvetica Neue" w:cs="Avenir"/>
                <w:sz w:val="22"/>
                <w:szCs w:val="22"/>
              </w:rPr>
              <w:t>completion</w:t>
            </w:r>
            <w:r w:rsidRPr="20C05A43">
              <w:rPr>
                <w:rFonts w:ascii="Helvetica Neue" w:eastAsia="Avenir" w:hAnsi="Helvetica Neue" w:cs="Avenir"/>
                <w:sz w:val="22"/>
                <w:szCs w:val="22"/>
              </w:rPr>
              <w:t xml:space="preserve">, In Biology </w:t>
            </w:r>
            <w:r w:rsidR="17BAF214" w:rsidRPr="20C05A43">
              <w:rPr>
                <w:rFonts w:ascii="Helvetica Neue" w:eastAsia="Avenir" w:hAnsi="Helvetica Neue" w:cs="Avenir"/>
                <w:sz w:val="22"/>
                <w:szCs w:val="22"/>
              </w:rPr>
              <w:t>we see a slight increase</w:t>
            </w:r>
            <w:r w:rsidR="0565C060" w:rsidRPr="20C05A43">
              <w:rPr>
                <w:rFonts w:ascii="Helvetica Neue" w:eastAsia="Avenir" w:hAnsi="Helvetica Neue" w:cs="Avenir"/>
                <w:sz w:val="22"/>
                <w:szCs w:val="22"/>
              </w:rPr>
              <w:t>.</w:t>
            </w:r>
            <w:r w:rsidR="61416B3D" w:rsidRPr="20C05A43">
              <w:rPr>
                <w:rFonts w:ascii="Helvetica Neue" w:eastAsia="Avenir" w:hAnsi="Helvetica Neue" w:cs="Avenir"/>
                <w:sz w:val="22"/>
                <w:szCs w:val="22"/>
              </w:rPr>
              <w:t xml:space="preserve"> The African American population college wide shows much smaller completion rate tha</w:t>
            </w:r>
            <w:r w:rsidR="4093DDD6" w:rsidRPr="20C05A43">
              <w:rPr>
                <w:rFonts w:ascii="Helvetica Neue" w:eastAsia="Avenir" w:hAnsi="Helvetica Neue" w:cs="Avenir"/>
                <w:sz w:val="22"/>
                <w:szCs w:val="22"/>
              </w:rPr>
              <w:t>n we witness in Biology. Similar t</w:t>
            </w:r>
            <w:r w:rsidR="7F38C307" w:rsidRPr="20C05A43">
              <w:rPr>
                <w:rFonts w:ascii="Helvetica Neue" w:eastAsia="Avenir" w:hAnsi="Helvetica Neue" w:cs="Avenir"/>
                <w:sz w:val="22"/>
                <w:szCs w:val="22"/>
              </w:rPr>
              <w:t>rend is seen in the Asian population.</w:t>
            </w:r>
            <w:r w:rsidR="142187EB" w:rsidRPr="20C05A43">
              <w:rPr>
                <w:rFonts w:ascii="Helvetica Neue" w:eastAsia="Avenir" w:hAnsi="Helvetica Neue" w:cs="Avenir"/>
                <w:sz w:val="22"/>
                <w:szCs w:val="22"/>
              </w:rPr>
              <w:t xml:space="preserve"> We also see a decline in the White population </w:t>
            </w:r>
            <w:r w:rsidR="10E7202C" w:rsidRPr="20C05A43">
              <w:rPr>
                <w:rFonts w:ascii="Helvetica Neue" w:eastAsia="Avenir" w:hAnsi="Helvetica Neue" w:cs="Avenir"/>
                <w:sz w:val="22"/>
                <w:szCs w:val="22"/>
              </w:rPr>
              <w:t>but</w:t>
            </w:r>
            <w:r w:rsidR="142187EB" w:rsidRPr="20C05A43">
              <w:rPr>
                <w:rFonts w:ascii="Helvetica Neue" w:eastAsia="Avenir" w:hAnsi="Helvetica Neue" w:cs="Avenir"/>
                <w:sz w:val="22"/>
                <w:szCs w:val="22"/>
              </w:rPr>
              <w:t xml:space="preserve"> not as drastically as i</w:t>
            </w:r>
            <w:r w:rsidR="5ABFBF6B" w:rsidRPr="20C05A43">
              <w:rPr>
                <w:rFonts w:ascii="Helvetica Neue" w:eastAsia="Avenir" w:hAnsi="Helvetica Neue" w:cs="Avenir"/>
                <w:sz w:val="22"/>
                <w:szCs w:val="22"/>
              </w:rPr>
              <w:t>n Biology.</w:t>
            </w:r>
            <w:r w:rsidR="142187EB" w:rsidRPr="20C05A43">
              <w:rPr>
                <w:rFonts w:ascii="Helvetica Neue" w:eastAsia="Avenir" w:hAnsi="Helvetica Neue" w:cs="Avenir"/>
                <w:sz w:val="22"/>
                <w:szCs w:val="22"/>
              </w:rPr>
              <w:t xml:space="preserve"> </w:t>
            </w:r>
          </w:p>
          <w:p w14:paraId="1AC41F4E" w14:textId="19EFFB42" w:rsidR="20C05A43" w:rsidRDefault="20C05A43" w:rsidP="20C05A43">
            <w:pPr>
              <w:rPr>
                <w:rFonts w:ascii="Helvetica Neue" w:eastAsia="Avenir" w:hAnsi="Helvetica Neue" w:cs="Avenir"/>
                <w:b/>
                <w:bCs/>
                <w:sz w:val="22"/>
                <w:szCs w:val="22"/>
              </w:rPr>
            </w:pP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20C05A43">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lastRenderedPageBreak/>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20C05A43">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5B4A7190" w:rsidR="00636202" w:rsidRPr="007335EF" w:rsidRDefault="00D1056E" w:rsidP="000D087A">
            <w:pPr>
              <w:rPr>
                <w:rFonts w:ascii="Helvetica Neue" w:hAnsi="Helvetica Neue"/>
                <w:sz w:val="22"/>
                <w:szCs w:val="22"/>
              </w:rPr>
            </w:pPr>
            <w:r>
              <w:rPr>
                <w:rFonts w:ascii="Helvetica Neue" w:hAnsi="Helvetica Neue"/>
                <w:sz w:val="22"/>
                <w:szCs w:val="22"/>
              </w:rPr>
              <w:t xml:space="preserve">We are looking for a balance between online and in person classes. Eventually, </w:t>
            </w:r>
            <w:proofErr w:type="spellStart"/>
            <w:r>
              <w:rPr>
                <w:rFonts w:ascii="Helvetica Neue" w:hAnsi="Helvetica Neue"/>
                <w:sz w:val="22"/>
                <w:szCs w:val="22"/>
              </w:rPr>
              <w:t>alss</w:t>
            </w:r>
            <w:proofErr w:type="spellEnd"/>
            <w:r>
              <w:rPr>
                <w:rFonts w:ascii="Helvetica Neue" w:hAnsi="Helvetica Neue"/>
                <w:sz w:val="22"/>
                <w:szCs w:val="22"/>
              </w:rPr>
              <w:t xml:space="preserve"> lab classes will be back in the classroom. </w:t>
            </w: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20C05A43">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0">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20C05A43">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20C05A43">
        <w:tc>
          <w:tcPr>
            <w:tcW w:w="9926" w:type="dxa"/>
            <w:shd w:val="clear" w:color="auto" w:fill="FFF2CC" w:themeFill="accent4" w:themeFillTint="33"/>
          </w:tcPr>
          <w:p w14:paraId="3D4B2310" w14:textId="7F2B3DE6" w:rsidR="009979A6" w:rsidRPr="007335EF" w:rsidRDefault="7A5D72FA" w:rsidP="009979A6">
            <w:pPr>
              <w:rPr>
                <w:rFonts w:ascii="Helvetica Neue" w:hAnsi="Helvetica Neue"/>
                <w:sz w:val="22"/>
                <w:szCs w:val="22"/>
              </w:rPr>
            </w:pPr>
            <w:r w:rsidRPr="20C05A43">
              <w:rPr>
                <w:rFonts w:ascii="Helvetica Neue" w:hAnsi="Helvetica Neue"/>
                <w:sz w:val="22"/>
                <w:szCs w:val="22"/>
              </w:rPr>
              <w:t xml:space="preserve">The overall trend of the last three years is </w:t>
            </w:r>
            <w:r w:rsidR="4E38C540" w:rsidRPr="20C05A43">
              <w:rPr>
                <w:rFonts w:ascii="Helvetica Neue" w:hAnsi="Helvetica Neue"/>
                <w:sz w:val="22"/>
                <w:szCs w:val="22"/>
              </w:rPr>
              <w:t>14</w:t>
            </w:r>
            <w:r w:rsidRPr="20C05A43">
              <w:rPr>
                <w:rFonts w:ascii="Helvetica Neue" w:hAnsi="Helvetica Neue"/>
                <w:sz w:val="22"/>
                <w:szCs w:val="22"/>
              </w:rPr>
              <w:t xml:space="preserve"> graduates per year.</w:t>
            </w:r>
            <w:r w:rsidR="11287DCC" w:rsidRPr="20C05A43">
              <w:rPr>
                <w:rFonts w:ascii="Helvetica Neue" w:hAnsi="Helvetica Neue"/>
                <w:sz w:val="22"/>
                <w:szCs w:val="22"/>
              </w:rPr>
              <w:t xml:space="preserve"> </w:t>
            </w:r>
            <w:r w:rsidR="28753927" w:rsidRPr="20C05A43">
              <w:rPr>
                <w:rFonts w:ascii="Helvetica Neue" w:hAnsi="Helvetica Neue"/>
                <w:sz w:val="22"/>
                <w:szCs w:val="22"/>
              </w:rPr>
              <w:t xml:space="preserve">Most graduates are between 19-24 years old. </w:t>
            </w:r>
            <w:r w:rsidR="3F0C32A2" w:rsidRPr="20C05A43">
              <w:rPr>
                <w:rFonts w:ascii="Helvetica Neue" w:hAnsi="Helvetica Neue"/>
                <w:sz w:val="22"/>
                <w:szCs w:val="22"/>
              </w:rPr>
              <w:t xml:space="preserve">More Asian, African Americans, and Hispanics are graduating with </w:t>
            </w:r>
            <w:r w:rsidR="06BFAABB" w:rsidRPr="20C05A43">
              <w:rPr>
                <w:rFonts w:ascii="Helvetica Neue" w:hAnsi="Helvetica Neue"/>
                <w:sz w:val="22"/>
                <w:szCs w:val="22"/>
              </w:rPr>
              <w:t>a</w:t>
            </w:r>
            <w:r w:rsidR="3F0C32A2" w:rsidRPr="20C05A43">
              <w:rPr>
                <w:rFonts w:ascii="Helvetica Neue" w:hAnsi="Helvetica Neue"/>
                <w:sz w:val="22"/>
                <w:szCs w:val="22"/>
              </w:rPr>
              <w:t xml:space="preserve"> BIO-A</w:t>
            </w:r>
            <w:r w:rsidR="50365DA4" w:rsidRPr="20C05A43">
              <w:rPr>
                <w:rFonts w:ascii="Helvetica Neue" w:hAnsi="Helvetica Neue"/>
                <w:sz w:val="22"/>
                <w:szCs w:val="22"/>
              </w:rPr>
              <w:t>ST degree. The white population is minimal.</w:t>
            </w:r>
            <w:r w:rsidR="6B85B8EB" w:rsidRPr="20C05A43">
              <w:rPr>
                <w:rFonts w:ascii="Helvetica Neue" w:hAnsi="Helvetica Neue"/>
                <w:sz w:val="22"/>
                <w:szCs w:val="22"/>
              </w:rPr>
              <w:t xml:space="preserve"> More female students than male students </w:t>
            </w:r>
            <w:r w:rsidR="30F6BD77" w:rsidRPr="20C05A43">
              <w:rPr>
                <w:rFonts w:ascii="Helvetica Neue" w:hAnsi="Helvetica Neue"/>
                <w:sz w:val="22"/>
                <w:szCs w:val="22"/>
              </w:rPr>
              <w:t>received a degree in Biology.</w:t>
            </w:r>
          </w:p>
          <w:p w14:paraId="0FBFFCED" w14:textId="23439D1B" w:rsidR="009979A6" w:rsidRPr="007335EF" w:rsidRDefault="009979A6" w:rsidP="20C05A43">
            <w:pPr>
              <w:rPr>
                <w:rFonts w:ascii="Helvetica Neue" w:hAnsi="Helvetica Neue"/>
                <w:sz w:val="22"/>
                <w:szCs w:val="22"/>
              </w:rPr>
            </w:pPr>
          </w:p>
          <w:p w14:paraId="28CCBBE5" w14:textId="6A459242" w:rsidR="009979A6" w:rsidRPr="007335EF" w:rsidRDefault="009979A6" w:rsidP="20C05A43">
            <w:pPr>
              <w:rPr>
                <w:rFonts w:ascii="Helvetica Neue" w:hAnsi="Helvetica Neue"/>
                <w:sz w:val="22"/>
                <w:szCs w:val="22"/>
              </w:rPr>
            </w:pPr>
          </w:p>
        </w:tc>
      </w:tr>
      <w:tr w:rsidR="009979A6" w14:paraId="2ED5EC2E" w14:textId="77777777" w:rsidTr="20C05A43">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20C05A43">
        <w:tc>
          <w:tcPr>
            <w:tcW w:w="9926" w:type="dxa"/>
            <w:shd w:val="clear" w:color="auto" w:fill="FFF2CC" w:themeFill="accent4" w:themeFillTint="33"/>
          </w:tcPr>
          <w:p w14:paraId="5FD27A79" w14:textId="452D365E" w:rsidR="009979A6" w:rsidRPr="007335EF" w:rsidRDefault="0C9CDADC" w:rsidP="009979A6">
            <w:pPr>
              <w:rPr>
                <w:rFonts w:ascii="Helvetica Neue" w:hAnsi="Helvetica Neue"/>
                <w:sz w:val="22"/>
                <w:szCs w:val="22"/>
              </w:rPr>
            </w:pPr>
            <w:r w:rsidRPr="20C05A43">
              <w:rPr>
                <w:rFonts w:ascii="Helvetica Neue" w:hAnsi="Helvetica Neue"/>
                <w:sz w:val="22"/>
                <w:szCs w:val="22"/>
              </w:rPr>
              <w:t>Gains are seen in the CTE areas, Veterans, and Adult Education</w:t>
            </w:r>
            <w:r w:rsidR="660CE932" w:rsidRPr="20C05A43">
              <w:rPr>
                <w:rFonts w:ascii="Helvetica Neue" w:hAnsi="Helvetica Neue"/>
                <w:sz w:val="22"/>
                <w:szCs w:val="22"/>
              </w:rPr>
              <w:t>. Decline in the Low-Income area. This will probably increase for this year when the college is free for the spring a</w:t>
            </w:r>
            <w:r w:rsidR="5C6BEB0F" w:rsidRPr="20C05A43">
              <w:rPr>
                <w:rFonts w:ascii="Helvetica Neue" w:hAnsi="Helvetica Neue"/>
                <w:sz w:val="22"/>
                <w:szCs w:val="22"/>
              </w:rPr>
              <w:t xml:space="preserve">gain. We are also getting more courses in our department which are using </w:t>
            </w:r>
            <w:r w:rsidR="5CF01D31" w:rsidRPr="20C05A43">
              <w:rPr>
                <w:rFonts w:ascii="Helvetica Neue" w:hAnsi="Helvetica Neue"/>
                <w:sz w:val="22"/>
                <w:szCs w:val="22"/>
              </w:rPr>
              <w:t xml:space="preserve">free </w:t>
            </w:r>
            <w:proofErr w:type="gramStart"/>
            <w:r w:rsidR="5CF01D31" w:rsidRPr="20C05A43">
              <w:rPr>
                <w:rFonts w:ascii="Helvetica Neue" w:hAnsi="Helvetica Neue"/>
                <w:sz w:val="22"/>
                <w:szCs w:val="22"/>
              </w:rPr>
              <w:t>text books</w:t>
            </w:r>
            <w:proofErr w:type="gramEnd"/>
            <w:r w:rsidR="5CF01D31" w:rsidRPr="20C05A43">
              <w:rPr>
                <w:rFonts w:ascii="Helvetica Neue" w:hAnsi="Helvetica Neue"/>
                <w:sz w:val="22"/>
                <w:szCs w:val="22"/>
              </w:rPr>
              <w:t>.</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20C05A43">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20C05A43">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20C05A43">
        <w:tc>
          <w:tcPr>
            <w:tcW w:w="9926" w:type="dxa"/>
            <w:shd w:val="clear" w:color="auto" w:fill="FFF2CC" w:themeFill="accent4" w:themeFillTint="33"/>
          </w:tcPr>
          <w:p w14:paraId="350B509B" w14:textId="6D840D39" w:rsidR="009979A6" w:rsidRPr="00F4718F" w:rsidRDefault="66616050" w:rsidP="20C05A43">
            <w:pPr>
              <w:rPr>
                <w:rFonts w:ascii="Helvetica Neue" w:hAnsi="Helvetica Neue"/>
                <w:sz w:val="22"/>
                <w:szCs w:val="22"/>
              </w:rPr>
            </w:pPr>
            <w:r w:rsidRPr="20C05A43">
              <w:rPr>
                <w:rFonts w:ascii="Helvetica Neue" w:hAnsi="Helvetica Neue"/>
                <w:sz w:val="22"/>
                <w:szCs w:val="22"/>
              </w:rPr>
              <w:t>We worked to increase the increase the number of AD-T degrees in o</w:t>
            </w:r>
            <w:r w:rsidR="03D485F9" w:rsidRPr="20C05A43">
              <w:rPr>
                <w:rFonts w:ascii="Helvetica Neue" w:hAnsi="Helvetica Neue"/>
                <w:sz w:val="22"/>
                <w:szCs w:val="22"/>
              </w:rPr>
              <w:t xml:space="preserve">ur department: Right </w:t>
            </w:r>
            <w:r w:rsidR="16C1F8F4" w:rsidRPr="20C05A43">
              <w:rPr>
                <w:rFonts w:ascii="Helvetica Neue" w:hAnsi="Helvetica Neue"/>
                <w:sz w:val="22"/>
                <w:szCs w:val="22"/>
              </w:rPr>
              <w:t>now,</w:t>
            </w:r>
            <w:r w:rsidR="03D485F9" w:rsidRPr="20C05A43">
              <w:rPr>
                <w:rFonts w:ascii="Helvetica Neue" w:hAnsi="Helvetica Neue"/>
                <w:sz w:val="22"/>
                <w:szCs w:val="22"/>
              </w:rPr>
              <w:t xml:space="preserve"> we have the following</w:t>
            </w:r>
            <w:r w:rsidR="5D44944F" w:rsidRPr="20C05A43">
              <w:rPr>
                <w:rFonts w:ascii="Helvetica Neue" w:hAnsi="Helvetica Neue"/>
                <w:sz w:val="22"/>
                <w:szCs w:val="22"/>
              </w:rPr>
              <w:t xml:space="preserve"> AD-T</w:t>
            </w:r>
            <w:r w:rsidR="03D485F9" w:rsidRPr="20C05A43">
              <w:rPr>
                <w:rFonts w:ascii="Helvetica Neue" w:hAnsi="Helvetica Neue"/>
                <w:sz w:val="22"/>
                <w:szCs w:val="22"/>
              </w:rPr>
              <w:t xml:space="preserve"> degrees launched in </w:t>
            </w:r>
            <w:r w:rsidR="69CB70E6" w:rsidRPr="20C05A43">
              <w:rPr>
                <w:rFonts w:ascii="Helvetica Neue" w:hAnsi="Helvetica Neue"/>
                <w:sz w:val="22"/>
                <w:szCs w:val="22"/>
              </w:rPr>
              <w:t>C</w:t>
            </w:r>
            <w:r w:rsidR="03D485F9" w:rsidRPr="20C05A43">
              <w:rPr>
                <w:rFonts w:ascii="Helvetica Neue" w:hAnsi="Helvetica Neue"/>
                <w:sz w:val="22"/>
                <w:szCs w:val="22"/>
              </w:rPr>
              <w:t>urricunet: Environ</w:t>
            </w:r>
            <w:r w:rsidR="10D2A1BA" w:rsidRPr="20C05A43">
              <w:rPr>
                <w:rFonts w:ascii="Helvetica Neue" w:hAnsi="Helvetica Neue"/>
                <w:sz w:val="22"/>
                <w:szCs w:val="22"/>
              </w:rPr>
              <w:t>mental Science</w:t>
            </w:r>
            <w:r w:rsidR="48E0018E" w:rsidRPr="20C05A43">
              <w:rPr>
                <w:rFonts w:ascii="Helvetica Neue" w:hAnsi="Helvetica Neue"/>
                <w:sz w:val="22"/>
                <w:szCs w:val="22"/>
              </w:rPr>
              <w:t xml:space="preserve">, Geography, and Physics. </w:t>
            </w:r>
            <w:r w:rsidR="54F0E51D" w:rsidRPr="20C05A43">
              <w:rPr>
                <w:rFonts w:ascii="Helvetica Neue" w:hAnsi="Helvetica Neue"/>
                <w:sz w:val="22"/>
                <w:szCs w:val="22"/>
              </w:rPr>
              <w:t>We are participating in</w:t>
            </w:r>
            <w:r w:rsidR="1BB1626A" w:rsidRPr="20C05A43">
              <w:rPr>
                <w:rFonts w:ascii="Helvetica Neue" w:hAnsi="Helvetica Neue"/>
                <w:sz w:val="22"/>
                <w:szCs w:val="22"/>
              </w:rPr>
              <w:t xml:space="preserve"> the college wide</w:t>
            </w:r>
            <w:r w:rsidR="54F0E51D" w:rsidRPr="20C05A43">
              <w:rPr>
                <w:rFonts w:ascii="Helvetica Neue" w:hAnsi="Helvetica Neue"/>
                <w:sz w:val="22"/>
                <w:szCs w:val="22"/>
              </w:rPr>
              <w:t xml:space="preserve"> Guided Pathway </w:t>
            </w:r>
            <w:r w:rsidR="03005E85" w:rsidRPr="20C05A43">
              <w:rPr>
                <w:rFonts w:ascii="Helvetica Neue" w:hAnsi="Helvetica Neue"/>
                <w:sz w:val="22"/>
                <w:szCs w:val="22"/>
              </w:rPr>
              <w:t>Development</w:t>
            </w:r>
            <w:r w:rsidR="6038ABDD" w:rsidRPr="20C05A43">
              <w:rPr>
                <w:rFonts w:ascii="Helvetica Neue" w:hAnsi="Helvetica Neue"/>
                <w:sz w:val="22"/>
                <w:szCs w:val="22"/>
              </w:rPr>
              <w:t>. We brainstormed</w:t>
            </w:r>
            <w:r w:rsidR="334223D0" w:rsidRPr="20C05A43">
              <w:rPr>
                <w:rFonts w:ascii="Helvetica Neue" w:hAnsi="Helvetica Neue"/>
                <w:sz w:val="22"/>
                <w:szCs w:val="22"/>
              </w:rPr>
              <w:t xml:space="preserve"> to design the student experience within BCC’s Academic and Career Commu</w:t>
            </w:r>
            <w:r w:rsidR="2553AD82" w:rsidRPr="20C05A43">
              <w:rPr>
                <w:rFonts w:ascii="Helvetica Neue" w:hAnsi="Helvetica Neue"/>
                <w:sz w:val="22"/>
                <w:szCs w:val="22"/>
              </w:rPr>
              <w:t>nities.</w:t>
            </w:r>
          </w:p>
          <w:p w14:paraId="1EC8528F" w14:textId="3D670A84" w:rsidR="007E1142" w:rsidRPr="00F4718F" w:rsidRDefault="007E1142" w:rsidP="20C05A43">
            <w:pPr>
              <w:rPr>
                <w:rFonts w:ascii="Helvetica Neue" w:hAnsi="Helvetica Neue"/>
                <w:sz w:val="22"/>
                <w:szCs w:val="22"/>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20C05A43">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2"/>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2"/>
            <w:r w:rsidR="00AF76C4" w:rsidRPr="00E35ADB">
              <w:rPr>
                <w:rStyle w:val="CommentReference"/>
                <w:color w:val="FFFFFF" w:themeColor="background1"/>
              </w:rPr>
              <w:commentReference w:id="2"/>
            </w:r>
          </w:p>
        </w:tc>
      </w:tr>
      <w:tr w:rsidR="009979A6" w:rsidRPr="00F4718F" w14:paraId="678642B3" w14:textId="77777777" w:rsidTr="20C05A43">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20C05A43">
        <w:tc>
          <w:tcPr>
            <w:tcW w:w="9926" w:type="dxa"/>
          </w:tcPr>
          <w:p w14:paraId="24B9AAC4" w14:textId="62B3C47F" w:rsidR="009979A6" w:rsidRPr="00E35ADB" w:rsidRDefault="00AF76C4" w:rsidP="00E35ADB">
            <w:pPr>
              <w:pStyle w:val="ListParagraph"/>
              <w:numPr>
                <w:ilvl w:val="0"/>
                <w:numId w:val="3"/>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20C05A43">
        <w:tc>
          <w:tcPr>
            <w:tcW w:w="9926" w:type="dxa"/>
            <w:shd w:val="clear" w:color="auto" w:fill="FFF2CC" w:themeFill="accent4" w:themeFillTint="33"/>
          </w:tcPr>
          <w:p w14:paraId="6D61BF1D" w14:textId="5B30904B" w:rsidR="00E57333" w:rsidRDefault="11F8137F" w:rsidP="20C05A43">
            <w:pPr>
              <w:ind w:left="-25"/>
              <w:rPr>
                <w:rFonts w:ascii="Helvetica Neue" w:eastAsia="Avenir Black" w:hAnsi="Helvetica Neue" w:cs="Avenir Black"/>
                <w:color w:val="000000" w:themeColor="text1"/>
                <w:sz w:val="22"/>
                <w:szCs w:val="22"/>
              </w:rPr>
            </w:pPr>
            <w:r w:rsidRPr="20C05A43">
              <w:rPr>
                <w:rFonts w:ascii="Helvetica Neue" w:eastAsia="Avenir Black" w:hAnsi="Helvetica Neue" w:cs="Avenir Black"/>
                <w:color w:val="000000" w:themeColor="text1"/>
                <w:sz w:val="22"/>
                <w:szCs w:val="22"/>
              </w:rPr>
              <w:t xml:space="preserve">With the increase in our </w:t>
            </w:r>
            <w:r w:rsidR="509CF8B0" w:rsidRPr="20C05A43">
              <w:rPr>
                <w:rFonts w:ascii="Helvetica Neue" w:eastAsia="Avenir Black" w:hAnsi="Helvetica Neue" w:cs="Avenir Black"/>
                <w:color w:val="000000" w:themeColor="text1"/>
                <w:sz w:val="22"/>
                <w:szCs w:val="22"/>
              </w:rPr>
              <w:t xml:space="preserve">AS-T and </w:t>
            </w:r>
            <w:r w:rsidRPr="20C05A43">
              <w:rPr>
                <w:rFonts w:ascii="Helvetica Neue" w:eastAsia="Avenir Black" w:hAnsi="Helvetica Neue" w:cs="Avenir Black"/>
                <w:color w:val="000000" w:themeColor="text1"/>
                <w:sz w:val="22"/>
                <w:szCs w:val="22"/>
              </w:rPr>
              <w:t xml:space="preserve">AD-T programs we make it for the students </w:t>
            </w:r>
            <w:r w:rsidR="3F349D1B" w:rsidRPr="20C05A43">
              <w:rPr>
                <w:rFonts w:ascii="Helvetica Neue" w:eastAsia="Avenir Black" w:hAnsi="Helvetica Neue" w:cs="Avenir Black"/>
                <w:color w:val="000000" w:themeColor="text1"/>
                <w:sz w:val="22"/>
                <w:szCs w:val="22"/>
              </w:rPr>
              <w:t xml:space="preserve">easier </w:t>
            </w:r>
            <w:r w:rsidR="02F8E33C" w:rsidRPr="20C05A43">
              <w:rPr>
                <w:rFonts w:ascii="Helvetica Neue" w:eastAsia="Avenir Black" w:hAnsi="Helvetica Neue" w:cs="Avenir Black"/>
                <w:color w:val="000000" w:themeColor="text1"/>
                <w:sz w:val="22"/>
                <w:szCs w:val="22"/>
              </w:rPr>
              <w:t xml:space="preserve">to follow </w:t>
            </w:r>
            <w:r w:rsidRPr="20C05A43">
              <w:rPr>
                <w:rFonts w:ascii="Helvetica Neue" w:eastAsia="Avenir Black" w:hAnsi="Helvetica Neue" w:cs="Avenir Black"/>
                <w:color w:val="000000" w:themeColor="text1"/>
                <w:sz w:val="22"/>
                <w:szCs w:val="22"/>
              </w:rPr>
              <w:t>pathways</w:t>
            </w:r>
            <w:r w:rsidR="50878F38" w:rsidRPr="20C05A43">
              <w:rPr>
                <w:rFonts w:ascii="Helvetica Neue" w:eastAsia="Avenir Black" w:hAnsi="Helvetica Neue" w:cs="Avenir Black"/>
                <w:color w:val="000000" w:themeColor="text1"/>
                <w:sz w:val="22"/>
                <w:szCs w:val="22"/>
              </w:rPr>
              <w:t>.</w:t>
            </w: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r w:rsidR="009979A6" w14:paraId="34A5387C" w14:textId="77777777" w:rsidTr="20C05A43">
        <w:tc>
          <w:tcPr>
            <w:tcW w:w="9926" w:type="dxa"/>
            <w:shd w:val="clear" w:color="auto" w:fill="auto"/>
          </w:tcPr>
          <w:p w14:paraId="77B9F97D" w14:textId="64B9A5B4" w:rsidR="007E1142" w:rsidRPr="00E35ADB" w:rsidRDefault="00AF76C4" w:rsidP="00E35ADB">
            <w:pPr>
              <w:pStyle w:val="ListParagraph"/>
              <w:numPr>
                <w:ilvl w:val="0"/>
                <w:numId w:val="3"/>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2" w:history="1">
              <w:r w:rsidRPr="00A70A64">
                <w:rPr>
                  <w:rStyle w:val="Hyperlink"/>
                  <w:rFonts w:ascii="Helvetica Neue" w:hAnsi="Helvetica Neue"/>
                </w:rPr>
                <w:t>Vision for Success</w:t>
              </w:r>
            </w:hyperlink>
            <w:r w:rsidRPr="5FAD3FD5">
              <w:rPr>
                <w:rFonts w:ascii="Helvetica Neue" w:hAnsi="Helvetica Neue"/>
              </w:rPr>
              <w:t xml:space="preserve"> and </w:t>
            </w:r>
            <w:hyperlink r:id="rId33" w:history="1">
              <w:r w:rsidRPr="00A70A64">
                <w:rPr>
                  <w:rStyle w:val="Hyperlink"/>
                  <w:rFonts w:ascii="Helvetica Neue" w:hAnsi="Helvetica Neue"/>
                </w:rPr>
                <w:t>SCFF</w:t>
              </w:r>
            </w:hyperlink>
            <w:r w:rsidRPr="5FAD3FD5">
              <w:rPr>
                <w:rFonts w:ascii="Helvetica Neue" w:hAnsi="Helvetica Neue"/>
              </w:rPr>
              <w:t xml:space="preserve"> focus, </w:t>
            </w:r>
            <w:r w:rsidRPr="5FAD3FD5">
              <w:rPr>
                <w:rFonts w:ascii="Helvetica Neue" w:hAnsi="Helvetica Neue"/>
              </w:rPr>
              <w:lastRenderedPageBreak/>
              <w:t>please indicate rationale and how the plans directly support student success and equitable completion.</w:t>
            </w:r>
          </w:p>
        </w:tc>
      </w:tr>
      <w:tr w:rsidR="00E57333" w14:paraId="7343EBBF" w14:textId="77777777" w:rsidTr="20C05A43">
        <w:tc>
          <w:tcPr>
            <w:tcW w:w="9926" w:type="dxa"/>
            <w:shd w:val="clear" w:color="auto" w:fill="FFF2CC" w:themeFill="accent4" w:themeFillTint="33"/>
          </w:tcPr>
          <w:p w14:paraId="288C3DED" w14:textId="68D9D7FD" w:rsidR="00E57333" w:rsidRDefault="2CB5038A" w:rsidP="00E57333">
            <w:pPr>
              <w:ind w:left="-25"/>
              <w:rPr>
                <w:rFonts w:ascii="Helvetica Neue" w:hAnsi="Helvetica Neue"/>
              </w:rPr>
            </w:pPr>
            <w:r w:rsidRPr="20C05A43">
              <w:rPr>
                <w:rFonts w:ascii="Helvetica Neue" w:hAnsi="Helvetica Neue"/>
              </w:rPr>
              <w:lastRenderedPageBreak/>
              <w:t xml:space="preserve">With the launch of the Environmental Science and </w:t>
            </w:r>
            <w:r w:rsidR="3BBB642B" w:rsidRPr="20C05A43">
              <w:rPr>
                <w:rFonts w:ascii="Helvetica Neue" w:hAnsi="Helvetica Neue"/>
              </w:rPr>
              <w:t>t</w:t>
            </w:r>
            <w:r w:rsidRPr="20C05A43">
              <w:rPr>
                <w:rFonts w:ascii="Helvetica Neue" w:hAnsi="Helvetica Neue"/>
              </w:rPr>
              <w:t xml:space="preserve">he </w:t>
            </w:r>
            <w:r w:rsidR="00D255DA">
              <w:rPr>
                <w:rFonts w:ascii="Helvetica Neue" w:hAnsi="Helvetica Neue"/>
              </w:rPr>
              <w:t>G</w:t>
            </w:r>
            <w:r w:rsidR="4910CE82" w:rsidRPr="20C05A43">
              <w:rPr>
                <w:rFonts w:ascii="Helvetica Neue" w:hAnsi="Helvetica Neue"/>
              </w:rPr>
              <w:t>eography</w:t>
            </w:r>
            <w:r w:rsidRPr="20C05A43">
              <w:rPr>
                <w:rFonts w:ascii="Helvetica Neue" w:hAnsi="Helvetica Neue"/>
              </w:rPr>
              <w:t xml:space="preserve"> program</w:t>
            </w:r>
            <w:r w:rsidR="359DBA8B" w:rsidRPr="20C05A43">
              <w:rPr>
                <w:rFonts w:ascii="Helvetica Neue" w:hAnsi="Helvetica Neue"/>
              </w:rPr>
              <w:t xml:space="preserve"> we heard from the students. A lot of students these days would love to study more in the </w:t>
            </w:r>
            <w:r w:rsidR="14F02D24" w:rsidRPr="20C05A43">
              <w:rPr>
                <w:rFonts w:ascii="Helvetica Neue" w:hAnsi="Helvetica Neue"/>
              </w:rPr>
              <w:t>environmental sciences and remote sensing areas.</w:t>
            </w:r>
          </w:p>
          <w:p w14:paraId="6BB3FED4" w14:textId="566CD74B" w:rsidR="00E57333" w:rsidRPr="00E35ADB" w:rsidRDefault="00E57333" w:rsidP="00E35ADB">
            <w:pPr>
              <w:ind w:left="-25"/>
              <w:rPr>
                <w:rFonts w:ascii="Helvetica Neue" w:hAnsi="Helvetica Neue"/>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20C05A43">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20C05A43">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20C05A43">
        <w:tc>
          <w:tcPr>
            <w:tcW w:w="9926" w:type="dxa"/>
            <w:shd w:val="clear" w:color="auto" w:fill="FFF2CC" w:themeFill="accent4" w:themeFillTint="33"/>
          </w:tcPr>
          <w:p w14:paraId="53C86E88" w14:textId="15399D4B" w:rsidR="00C407EA" w:rsidRDefault="7661EA4D" w:rsidP="20C05A43">
            <w:pPr>
              <w:rPr>
                <w:rFonts w:ascii="Helvetica Neue" w:eastAsia="Avenir Black" w:hAnsi="Helvetica Neue" w:cs="Avenir Black"/>
                <w:color w:val="000000" w:themeColor="text1"/>
                <w:sz w:val="22"/>
                <w:szCs w:val="22"/>
              </w:rPr>
            </w:pPr>
            <w:r w:rsidRPr="20C05A43">
              <w:rPr>
                <w:rFonts w:ascii="Helvetica Neue" w:eastAsia="Avenir Black" w:hAnsi="Helvetica Neue" w:cs="Avenir Black"/>
                <w:color w:val="000000" w:themeColor="text1"/>
                <w:sz w:val="22"/>
                <w:szCs w:val="22"/>
              </w:rPr>
              <w:t>From this data we can see a decline in High School students.</w:t>
            </w:r>
            <w:r w:rsidR="2EA0391B" w:rsidRPr="20C05A43">
              <w:rPr>
                <w:rFonts w:ascii="Helvetica Neue" w:eastAsia="Avenir Black" w:hAnsi="Helvetica Neue" w:cs="Avenir Black"/>
                <w:color w:val="000000" w:themeColor="text1"/>
                <w:sz w:val="22"/>
                <w:szCs w:val="22"/>
              </w:rPr>
              <w:t xml:space="preserve"> We as </w:t>
            </w:r>
            <w:r w:rsidR="73ABB4B0" w:rsidRPr="20C05A43">
              <w:rPr>
                <w:rFonts w:ascii="Helvetica Neue" w:eastAsia="Avenir Black" w:hAnsi="Helvetica Neue" w:cs="Avenir Black"/>
                <w:color w:val="000000" w:themeColor="text1"/>
                <w:sz w:val="22"/>
                <w:szCs w:val="22"/>
              </w:rPr>
              <w:t>a department</w:t>
            </w:r>
            <w:r w:rsidR="2EA0391B" w:rsidRPr="20C05A43">
              <w:rPr>
                <w:rFonts w:ascii="Helvetica Neue" w:eastAsia="Avenir Black" w:hAnsi="Helvetica Neue" w:cs="Avenir Black"/>
                <w:color w:val="000000" w:themeColor="text1"/>
                <w:sz w:val="22"/>
                <w:szCs w:val="22"/>
              </w:rPr>
              <w:t xml:space="preserve"> should go into the high schools to talk about the benefits </w:t>
            </w:r>
            <w:r w:rsidR="5279F527" w:rsidRPr="20C05A43">
              <w:rPr>
                <w:rFonts w:ascii="Helvetica Neue" w:eastAsia="Avenir Black" w:hAnsi="Helvetica Neue" w:cs="Avenir Black"/>
                <w:color w:val="000000" w:themeColor="text1"/>
                <w:sz w:val="22"/>
                <w:szCs w:val="22"/>
              </w:rPr>
              <w:t>of taking science courses at BCC.</w:t>
            </w:r>
          </w:p>
          <w:p w14:paraId="7886CF98" w14:textId="77777777" w:rsidR="00A16362" w:rsidRDefault="00A16362" w:rsidP="20C05A43">
            <w:pPr>
              <w:rPr>
                <w:rFonts w:ascii="Helvetica Neue" w:eastAsia="Avenir Black" w:hAnsi="Helvetica Neue" w:cs="Avenir Black"/>
                <w:color w:val="000000" w:themeColor="text1"/>
                <w:sz w:val="22"/>
                <w:szCs w:val="22"/>
              </w:rPr>
            </w:pPr>
          </w:p>
          <w:p w14:paraId="4B4534FE" w14:textId="5F13907B" w:rsidR="00C407EA" w:rsidRPr="00E35ADB" w:rsidRDefault="00C407EA" w:rsidP="00E35ADB">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20C05A43">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20C05A43">
        <w:tc>
          <w:tcPr>
            <w:tcW w:w="9926" w:type="dxa"/>
          </w:tcPr>
          <w:p w14:paraId="2D5BFFAA" w14:textId="41512948" w:rsidR="00F4718F" w:rsidRPr="00B822F5" w:rsidRDefault="51ED074F" w:rsidP="00E35ADB">
            <w:pPr>
              <w:pStyle w:val="ListParagraph"/>
              <w:ind w:left="0"/>
              <w:rPr>
                <w:b/>
                <w:bCs/>
              </w:rPr>
            </w:pPr>
            <w:r w:rsidRPr="20C05A43">
              <w:rPr>
                <w:rFonts w:ascii="Helvetica Neue" w:hAnsi="Helvetica Neue" w:cs="Segoe UI"/>
                <w:b/>
                <w:bCs/>
                <w:color w:val="000000" w:themeColor="text1"/>
              </w:rPr>
              <w:t xml:space="preserve">Assess your facilities utilization (including labs, support for online learning, and other spaces) and for </w:t>
            </w:r>
            <w:r w:rsidR="0C6A9AB2" w:rsidRPr="20C05A43">
              <w:rPr>
                <w:rFonts w:ascii="Helvetica Neue" w:hAnsi="Helvetica Neue" w:cs="Segoe UI"/>
                <w:b/>
                <w:bCs/>
                <w:color w:val="000000" w:themeColor="text1"/>
              </w:rPr>
              <w:t>next</w:t>
            </w:r>
            <w:r w:rsidRPr="20C05A43">
              <w:rPr>
                <w:rFonts w:ascii="Helvetica Neue" w:hAnsi="Helvetica Neue" w:cs="Segoe UI"/>
                <w:b/>
                <w:bCs/>
                <w:color w:val="000000" w:themeColor="text1"/>
              </w:rPr>
              <w:t xml:space="preserve"> year, indicate if the space is sufficient</w:t>
            </w:r>
            <w:r w:rsidR="4C519817" w:rsidRPr="20C05A43">
              <w:rPr>
                <w:rFonts w:ascii="Helvetica Neue" w:hAnsi="Helvetica Neue" w:cs="Segoe UI"/>
                <w:b/>
                <w:bCs/>
                <w:color w:val="000000" w:themeColor="text1"/>
              </w:rPr>
              <w:t xml:space="preserve"> or not</w:t>
            </w:r>
            <w:r w:rsidRPr="20C05A43">
              <w:rPr>
                <w:rFonts w:ascii="Helvetica Neue" w:hAnsi="Helvetica Neue" w:cs="Segoe UI"/>
                <w:b/>
                <w:bCs/>
                <w:color w:val="000000" w:themeColor="text1"/>
              </w:rPr>
              <w:t xml:space="preserve">.  If </w:t>
            </w:r>
            <w:r w:rsidR="3D0C0345" w:rsidRPr="20C05A43">
              <w:rPr>
                <w:rFonts w:ascii="Helvetica Neue" w:hAnsi="Helvetica Neue" w:cs="Segoe UI"/>
                <w:b/>
                <w:bCs/>
                <w:color w:val="000000" w:themeColor="text1"/>
              </w:rPr>
              <w:t>not</w:t>
            </w:r>
            <w:r w:rsidRPr="20C05A43">
              <w:rPr>
                <w:rFonts w:ascii="Helvetica Neue" w:hAnsi="Helvetica Neue" w:cs="Segoe UI"/>
                <w:b/>
                <w:bCs/>
                <w:color w:val="000000" w:themeColor="text1"/>
              </w:rPr>
              <w:t xml:space="preserve">, what are the needs and why? </w:t>
            </w:r>
            <w:r w:rsidR="19811637" w:rsidRPr="20C05A43">
              <w:rPr>
                <w:rFonts w:ascii="Helvetica Neue" w:hAnsi="Helvetica Neue" w:cs="Segoe UI"/>
                <w:b/>
                <w:bCs/>
                <w:color w:val="000000" w:themeColor="text1"/>
              </w:rPr>
              <w:t xml:space="preserve">Work with </w:t>
            </w:r>
            <w:r w:rsidR="274CEB8B" w:rsidRPr="20C05A43">
              <w:rPr>
                <w:rFonts w:ascii="Helvetica Neue" w:hAnsi="Helvetica Neue" w:cs="Segoe UI"/>
                <w:b/>
                <w:bCs/>
                <w:color w:val="000000" w:themeColor="text1"/>
              </w:rPr>
              <w:t xml:space="preserve">your Dean to check on your needs prior to </w:t>
            </w:r>
            <w:r w:rsidR="277C3450" w:rsidRPr="20C05A43">
              <w:rPr>
                <w:rFonts w:ascii="Helvetica Neue" w:hAnsi="Helvetica Neue" w:cs="Segoe UI"/>
                <w:b/>
                <w:bCs/>
                <w:color w:val="000000" w:themeColor="text1"/>
              </w:rPr>
              <w:t>responding to</w:t>
            </w:r>
            <w:r w:rsidR="274CEB8B" w:rsidRPr="20C05A43">
              <w:rPr>
                <w:rFonts w:ascii="Helvetica Neue" w:hAnsi="Helvetica Neue" w:cs="Segoe UI"/>
                <w:b/>
                <w:bCs/>
                <w:color w:val="000000" w:themeColor="text1"/>
              </w:rPr>
              <w:t xml:space="preserve"> this section.</w:t>
            </w:r>
          </w:p>
        </w:tc>
      </w:tr>
      <w:tr w:rsidR="00F4718F" w14:paraId="4710BDA8" w14:textId="77777777" w:rsidTr="20C05A43">
        <w:tc>
          <w:tcPr>
            <w:tcW w:w="9926" w:type="dxa"/>
            <w:shd w:val="clear" w:color="auto" w:fill="FFF2CC" w:themeFill="accent4" w:themeFillTint="33"/>
          </w:tcPr>
          <w:p w14:paraId="231B6846" w14:textId="6DD42101" w:rsidR="00F4718F" w:rsidRPr="00F4718F" w:rsidRDefault="3E99F17C" w:rsidP="00EE3904">
            <w:r w:rsidRPr="50597374">
              <w:rPr>
                <w:rFonts w:ascii="Helvetica Neue" w:eastAsia="Helvetica Neue" w:hAnsi="Helvetica Neue" w:cs="Helvetica Neue"/>
                <w:sz w:val="22"/>
                <w:szCs w:val="22"/>
              </w:rPr>
              <w:t>We need more space when we return to in person teaching. Especially Lab space is needed. We are using all Lab spaces in our building. Lectures are held in different lecture rooms. The tiered classroom 431 is always used for double sections. We need more of these tiered classrooms! Lunch seminars are also held in the tiered classroom. Evening seminars utilize the auditorium.</w:t>
            </w:r>
          </w:p>
          <w:p w14:paraId="198965BD" w14:textId="6B474132" w:rsidR="00F4718F" w:rsidRPr="00F4718F" w:rsidRDefault="3E99F17C" w:rsidP="50597374">
            <w:r w:rsidRPr="50597374">
              <w:rPr>
                <w:rFonts w:ascii="Helvetica Neue" w:eastAsia="Helvetica Neue" w:hAnsi="Helvetica Neue" w:cs="Helvetica Neue"/>
                <w:sz w:val="22"/>
                <w:szCs w:val="22"/>
              </w:rPr>
              <w:lastRenderedPageBreak/>
              <w:t xml:space="preserve">We </w:t>
            </w:r>
            <w:r w:rsidR="428BB97D" w:rsidRPr="50597374">
              <w:rPr>
                <w:rFonts w:ascii="Helvetica Neue" w:eastAsia="Helvetica Neue" w:hAnsi="Helvetica Neue" w:cs="Helvetica Neue"/>
                <w:sz w:val="22"/>
                <w:szCs w:val="22"/>
              </w:rPr>
              <w:t>need</w:t>
            </w:r>
            <w:r w:rsidRPr="50597374">
              <w:rPr>
                <w:rFonts w:ascii="Helvetica Neue" w:eastAsia="Helvetica Neue" w:hAnsi="Helvetica Neue" w:cs="Helvetica Neue"/>
                <w:sz w:val="22"/>
                <w:szCs w:val="22"/>
              </w:rPr>
              <w:t xml:space="preserve"> a Biotech Center and a dedicated Biotech lab that needs to be sterile to grow stem cells. We have plans for the expansion to the 4</w:t>
            </w:r>
            <w:r w:rsidRPr="50597374">
              <w:rPr>
                <w:rFonts w:ascii="Helvetica Neue" w:eastAsia="Helvetica Neue" w:hAnsi="Helvetica Neue" w:cs="Helvetica Neue"/>
                <w:sz w:val="22"/>
                <w:szCs w:val="22"/>
                <w:vertAlign w:val="superscript"/>
              </w:rPr>
              <w:t>th</w:t>
            </w:r>
            <w:r w:rsidRPr="50597374">
              <w:rPr>
                <w:rFonts w:ascii="Helvetica Neue" w:eastAsia="Helvetica Neue" w:hAnsi="Helvetica Neue" w:cs="Helvetica Neue"/>
                <w:sz w:val="22"/>
                <w:szCs w:val="22"/>
              </w:rPr>
              <w:t xml:space="preserve"> floor to increase dedicated labs for Physics, Geography, and Geology. </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20C05A43">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20C05A43">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w:t>
            </w:r>
            <w:proofErr w:type="gramStart"/>
            <w:r w:rsidRPr="008828F5">
              <w:rPr>
                <w:rFonts w:ascii="Helvetica Neue" w:hAnsi="Helvetica Neue"/>
                <w:color w:val="000000" w:themeColor="text1"/>
                <w:sz w:val="23"/>
                <w:szCs w:val="23"/>
              </w:rPr>
              <w:t>course</w:t>
            </w:r>
            <w:proofErr w:type="gramEnd"/>
            <w:r w:rsidRPr="008828F5">
              <w:rPr>
                <w:rFonts w:ascii="Helvetica Neue" w:hAnsi="Helvetica Neue"/>
                <w:color w:val="000000" w:themeColor="text1"/>
                <w:sz w:val="23"/>
                <w:szCs w:val="23"/>
              </w:rPr>
              <w:t xml:space="preserv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20C05A43">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20C05A43">
        <w:tc>
          <w:tcPr>
            <w:tcW w:w="9926" w:type="dxa"/>
            <w:shd w:val="clear" w:color="auto" w:fill="FFF2CC" w:themeFill="accent4" w:themeFillTint="33"/>
          </w:tcPr>
          <w:p w14:paraId="1413CA6F" w14:textId="36114A71" w:rsidR="00266533" w:rsidRDefault="4196F6C7" w:rsidP="50597374">
            <w:pPr>
              <w:rPr>
                <w:color w:val="000000" w:themeColor="text1"/>
                <w:sz w:val="20"/>
                <w:szCs w:val="20"/>
              </w:rPr>
            </w:pPr>
            <w:r w:rsidRPr="20C05A43">
              <w:rPr>
                <w:color w:val="000000" w:themeColor="text1"/>
                <w:sz w:val="20"/>
                <w:szCs w:val="20"/>
              </w:rPr>
              <w:t xml:space="preserve">BIOL-AST Degree </w:t>
            </w:r>
            <w:r w:rsidR="508EAFE5" w:rsidRPr="20C05A43">
              <w:rPr>
                <w:color w:val="000000" w:themeColor="text1"/>
                <w:sz w:val="20"/>
                <w:szCs w:val="20"/>
              </w:rPr>
              <w:t>based on BIOL-1A and BIOL-1B Outcomes:</w:t>
            </w:r>
          </w:p>
          <w:p w14:paraId="0CDA9B23" w14:textId="625A0296" w:rsidR="00266533" w:rsidRDefault="5E0EF40F" w:rsidP="50597374">
            <w:pPr>
              <w:rPr>
                <w:color w:val="000000" w:themeColor="text1"/>
                <w:sz w:val="20"/>
                <w:szCs w:val="20"/>
              </w:rPr>
            </w:pPr>
            <w:r w:rsidRPr="50597374">
              <w:rPr>
                <w:color w:val="000000" w:themeColor="text1"/>
                <w:sz w:val="20"/>
                <w:szCs w:val="20"/>
              </w:rPr>
              <w:t>1. Demonstrate skills in the scientific methods used in the biological sciences.</w:t>
            </w:r>
          </w:p>
          <w:p w14:paraId="1D37F1A2" w14:textId="55715B7B" w:rsidR="5E0EF40F" w:rsidRDefault="5E0EF40F" w:rsidP="50597374">
            <w:pPr>
              <w:pStyle w:val="ListParagraph"/>
              <w:numPr>
                <w:ilvl w:val="0"/>
                <w:numId w:val="44"/>
              </w:numPr>
              <w:rPr>
                <w:rFonts w:ascii="Times New Roman" w:eastAsia="Times New Roman" w:hAnsi="Times New Roman" w:cs="Times New Roman"/>
                <w:color w:val="212529"/>
                <w:sz w:val="20"/>
                <w:szCs w:val="20"/>
              </w:rPr>
            </w:pPr>
            <w:r w:rsidRPr="50597374">
              <w:rPr>
                <w:rFonts w:ascii="Times New Roman" w:eastAsia="Times New Roman" w:hAnsi="Times New Roman" w:cs="Times New Roman"/>
                <w:color w:val="000000" w:themeColor="text1"/>
                <w:sz w:val="20"/>
                <w:szCs w:val="20"/>
              </w:rPr>
              <w:t>Action Plan: (</w:t>
            </w:r>
            <w:r w:rsidRPr="50597374">
              <w:rPr>
                <w:rFonts w:ascii="Times New Roman" w:eastAsia="Times New Roman" w:hAnsi="Times New Roman" w:cs="Times New Roman"/>
                <w:color w:val="212529"/>
                <w:sz w:val="20"/>
                <w:szCs w:val="20"/>
              </w:rPr>
              <w:t xml:space="preserve">Students have difficulty understanding simple concepts of observation, </w:t>
            </w:r>
            <w:proofErr w:type="gramStart"/>
            <w:r w:rsidRPr="50597374">
              <w:rPr>
                <w:rFonts w:ascii="Times New Roman" w:eastAsia="Times New Roman" w:hAnsi="Times New Roman" w:cs="Times New Roman"/>
                <w:color w:val="212529"/>
                <w:sz w:val="20"/>
                <w:szCs w:val="20"/>
              </w:rPr>
              <w:t>hypothesis</w:t>
            </w:r>
            <w:proofErr w:type="gramEnd"/>
            <w:r w:rsidRPr="50597374">
              <w:rPr>
                <w:rFonts w:ascii="Times New Roman" w:eastAsia="Times New Roman" w:hAnsi="Times New Roman" w:cs="Times New Roman"/>
                <w:color w:val="212529"/>
                <w:sz w:val="20"/>
                <w:szCs w:val="20"/>
              </w:rPr>
              <w:t xml:space="preserve"> and test. Given an assignment to write down an observation, and hypothesis and test, student will routinely give a hypothesis instead of an observation.) </w:t>
            </w:r>
            <w:r w:rsidR="6374568D" w:rsidRPr="50597374">
              <w:rPr>
                <w:rFonts w:ascii="Times New Roman" w:eastAsia="Times New Roman" w:hAnsi="Times New Roman" w:cs="Times New Roman"/>
                <w:color w:val="212529"/>
                <w:sz w:val="20"/>
                <w:szCs w:val="20"/>
              </w:rPr>
              <w:t>Assignments / exercises to specifically require students to submit Observation / hypothesis / tests are implemented.</w:t>
            </w:r>
          </w:p>
          <w:p w14:paraId="2D4BCCD6" w14:textId="7FEDA376" w:rsidR="13970D40" w:rsidRDefault="13970D40" w:rsidP="50597374">
            <w:pPr>
              <w:rPr>
                <w:color w:val="212529"/>
                <w:sz w:val="20"/>
                <w:szCs w:val="20"/>
              </w:rPr>
            </w:pPr>
            <w:r w:rsidRPr="50597374">
              <w:rPr>
                <w:color w:val="212529"/>
                <w:sz w:val="20"/>
                <w:szCs w:val="20"/>
              </w:rPr>
              <w:t xml:space="preserve">2. Explain core concepts of biology: chemical makeup of biomolecules and their importance in the structure and function of the cell; functions of organelles, cellular processing, including respiration, photosynthesis, mitosis, meiosis, transcription/translation, and fundamental biological concepts in classical and molecular genetics, and molecular biology; classification, life cycles, physiology, anatomy and development of animals, </w:t>
            </w:r>
            <w:r w:rsidR="5089B5DA" w:rsidRPr="50597374">
              <w:rPr>
                <w:color w:val="212529"/>
                <w:sz w:val="20"/>
                <w:szCs w:val="20"/>
              </w:rPr>
              <w:t>P</w:t>
            </w:r>
            <w:r w:rsidRPr="50597374">
              <w:rPr>
                <w:color w:val="212529"/>
                <w:sz w:val="20"/>
                <w:szCs w:val="20"/>
              </w:rPr>
              <w:t xml:space="preserve">lants, </w:t>
            </w:r>
            <w:r w:rsidR="6DF4F289" w:rsidRPr="50597374">
              <w:rPr>
                <w:color w:val="212529"/>
                <w:sz w:val="20"/>
                <w:szCs w:val="20"/>
              </w:rPr>
              <w:t>F</w:t>
            </w:r>
            <w:r w:rsidRPr="50597374">
              <w:rPr>
                <w:color w:val="212529"/>
                <w:sz w:val="20"/>
                <w:szCs w:val="20"/>
              </w:rPr>
              <w:t xml:space="preserve">ungi, </w:t>
            </w:r>
            <w:proofErr w:type="gramStart"/>
            <w:r w:rsidR="505D07D7" w:rsidRPr="50597374">
              <w:rPr>
                <w:color w:val="212529"/>
                <w:sz w:val="20"/>
                <w:szCs w:val="20"/>
              </w:rPr>
              <w:t>Protista</w:t>
            </w:r>
            <w:proofErr w:type="gramEnd"/>
            <w:r w:rsidRPr="50597374">
              <w:rPr>
                <w:color w:val="212529"/>
                <w:sz w:val="20"/>
                <w:szCs w:val="20"/>
              </w:rPr>
              <w:t xml:space="preserve"> and prokaryotes.</w:t>
            </w:r>
          </w:p>
          <w:p w14:paraId="3C0AD7AA" w14:textId="407A96F2" w:rsidR="13970D40" w:rsidRDefault="13970D40" w:rsidP="50597374">
            <w:pPr>
              <w:pStyle w:val="ListParagraph"/>
              <w:numPr>
                <w:ilvl w:val="0"/>
                <w:numId w:val="2"/>
              </w:numPr>
              <w:rPr>
                <w:rFonts w:ascii="Times New Roman" w:eastAsia="Times New Roman" w:hAnsi="Times New Roman" w:cs="Times New Roman"/>
                <w:color w:val="212529"/>
                <w:sz w:val="20"/>
                <w:szCs w:val="20"/>
              </w:rPr>
            </w:pPr>
            <w:r w:rsidRPr="50597374">
              <w:rPr>
                <w:rFonts w:ascii="Times New Roman" w:eastAsia="Times New Roman" w:hAnsi="Times New Roman" w:cs="Times New Roman"/>
                <w:color w:val="212529"/>
                <w:sz w:val="20"/>
                <w:szCs w:val="20"/>
              </w:rPr>
              <w:t>Action Plan</w:t>
            </w:r>
            <w:r w:rsidR="19791B6B" w:rsidRPr="50597374">
              <w:rPr>
                <w:rFonts w:ascii="Times New Roman" w:eastAsia="Times New Roman" w:hAnsi="Times New Roman" w:cs="Times New Roman"/>
                <w:color w:val="212529"/>
                <w:sz w:val="20"/>
                <w:szCs w:val="20"/>
              </w:rPr>
              <w:t xml:space="preserve">s: More questions on bonding patterns are implemented. The lab portions dealing with meiosis visualization have increased. This is combined with more practice problems to focus on crucial aspects of inheritance. Specifically, comparing independent assortment, and homologous recombination, and how distance leads to increased rates of homologous recombination and non-parental phenotypes. </w:t>
            </w:r>
            <w:r w:rsidR="66A02F1B" w:rsidRPr="50597374">
              <w:rPr>
                <w:rFonts w:ascii="Times New Roman" w:eastAsia="Times New Roman" w:hAnsi="Times New Roman" w:cs="Times New Roman"/>
                <w:color w:val="212529"/>
                <w:sz w:val="20"/>
                <w:szCs w:val="20"/>
              </w:rPr>
              <w:t>Flash cards to drill tissue identification are implemented. Study guides are updated.</w:t>
            </w:r>
          </w:p>
          <w:p w14:paraId="4DC312A6" w14:textId="20D82FA6" w:rsidR="1A014FA4" w:rsidRDefault="1A014FA4" w:rsidP="50597374">
            <w:pPr>
              <w:rPr>
                <w:color w:val="212529"/>
                <w:sz w:val="20"/>
                <w:szCs w:val="20"/>
              </w:rPr>
            </w:pPr>
            <w:r w:rsidRPr="50597374">
              <w:rPr>
                <w:color w:val="212529"/>
                <w:sz w:val="20"/>
                <w:szCs w:val="20"/>
              </w:rPr>
              <w:t>3. Explain the core concepts of evolution and ecology.</w:t>
            </w:r>
          </w:p>
          <w:p w14:paraId="26D11857" w14:textId="276AA169" w:rsidR="1A014FA4" w:rsidRDefault="12B3F30A" w:rsidP="20C05A43">
            <w:pPr>
              <w:pStyle w:val="ListParagraph"/>
              <w:numPr>
                <w:ilvl w:val="0"/>
                <w:numId w:val="1"/>
              </w:numPr>
              <w:rPr>
                <w:rFonts w:ascii="Times New Roman" w:eastAsia="Times New Roman" w:hAnsi="Times New Roman" w:cs="Times New Roman"/>
                <w:color w:val="212529"/>
                <w:sz w:val="20"/>
                <w:szCs w:val="20"/>
              </w:rPr>
            </w:pPr>
            <w:r w:rsidRPr="20C05A43">
              <w:rPr>
                <w:rFonts w:ascii="Times New Roman" w:eastAsia="Times New Roman" w:hAnsi="Times New Roman" w:cs="Times New Roman"/>
                <w:color w:val="212529"/>
                <w:sz w:val="20"/>
                <w:szCs w:val="20"/>
              </w:rPr>
              <w:t>Action plan</w:t>
            </w:r>
            <w:r w:rsidR="3DD8043C" w:rsidRPr="20C05A43">
              <w:rPr>
                <w:rFonts w:ascii="Times New Roman" w:eastAsia="Times New Roman" w:hAnsi="Times New Roman" w:cs="Times New Roman"/>
                <w:color w:val="212529"/>
                <w:sz w:val="20"/>
                <w:szCs w:val="20"/>
              </w:rPr>
              <w:t xml:space="preserve">: a comparison is made </w:t>
            </w:r>
            <w:r w:rsidR="695139A6" w:rsidRPr="20C05A43">
              <w:rPr>
                <w:rFonts w:ascii="Times New Roman" w:eastAsia="Times New Roman" w:hAnsi="Times New Roman" w:cs="Times New Roman"/>
                <w:color w:val="212529"/>
                <w:sz w:val="20"/>
                <w:szCs w:val="20"/>
              </w:rPr>
              <w:t>with and without the</w:t>
            </w:r>
            <w:r w:rsidR="3DD8043C" w:rsidRPr="20C05A43">
              <w:rPr>
                <w:rFonts w:ascii="Times New Roman" w:eastAsia="Times New Roman" w:hAnsi="Times New Roman" w:cs="Times New Roman"/>
                <w:color w:val="212529"/>
                <w:sz w:val="20"/>
                <w:szCs w:val="20"/>
              </w:rPr>
              <w:t xml:space="preserve"> use of Courselets.org.</w:t>
            </w:r>
            <w:r w:rsidR="4AA7EE61" w:rsidRPr="20C05A43">
              <w:rPr>
                <w:rFonts w:ascii="Times New Roman" w:eastAsia="Times New Roman" w:hAnsi="Times New Roman" w:cs="Times New Roman"/>
                <w:color w:val="212529"/>
                <w:sz w:val="20"/>
                <w:szCs w:val="20"/>
              </w:rPr>
              <w:t xml:space="preserve"> Courselets.org proved to be working to overcome the learning gaps!</w:t>
            </w:r>
          </w:p>
          <w:p w14:paraId="7FBCC467" w14:textId="79A9024B" w:rsidR="20C05A43" w:rsidRDefault="20C05A43" w:rsidP="20C05A43">
            <w:pPr>
              <w:rPr>
                <w:color w:val="212529"/>
                <w:sz w:val="20"/>
                <w:szCs w:val="20"/>
              </w:rPr>
            </w:pPr>
          </w:p>
          <w:p w14:paraId="77F516E1" w14:textId="28A5D38F" w:rsidR="0B29AC0F" w:rsidRDefault="0B29AC0F" w:rsidP="20C05A43">
            <w:pPr>
              <w:rPr>
                <w:color w:val="212529"/>
                <w:sz w:val="20"/>
                <w:szCs w:val="20"/>
              </w:rPr>
            </w:pPr>
            <w:r w:rsidRPr="20C05A43">
              <w:rPr>
                <w:color w:val="212529"/>
                <w:sz w:val="20"/>
                <w:szCs w:val="20"/>
              </w:rPr>
              <w:t>BIOL-10</w:t>
            </w:r>
            <w:r w:rsidR="5F0A1C6F" w:rsidRPr="20C05A43">
              <w:rPr>
                <w:color w:val="212529"/>
                <w:sz w:val="20"/>
                <w:szCs w:val="20"/>
              </w:rPr>
              <w:t>:</w:t>
            </w:r>
          </w:p>
          <w:p w14:paraId="6138244E" w14:textId="60D9A312" w:rsidR="00266533" w:rsidRPr="00266533" w:rsidRDefault="00266533" w:rsidP="50597374">
            <w:pPr>
              <w:rPr>
                <w:color w:val="000000" w:themeColor="text1"/>
                <w:sz w:val="20"/>
                <w:szCs w:val="20"/>
              </w:rPr>
            </w:pPr>
          </w:p>
        </w:tc>
      </w:tr>
      <w:tr w:rsidR="00266533" w:rsidRPr="00EC7286" w14:paraId="50C11621" w14:textId="77777777" w:rsidTr="20C05A43">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20C05A43">
        <w:tc>
          <w:tcPr>
            <w:tcW w:w="9926" w:type="dxa"/>
            <w:shd w:val="clear" w:color="auto" w:fill="FFF2CC" w:themeFill="accent4" w:themeFillTint="33"/>
          </w:tcPr>
          <w:p w14:paraId="515D2D96" w14:textId="36114A71" w:rsidR="00266533" w:rsidRDefault="633F2D11" w:rsidP="20C05A43">
            <w:pPr>
              <w:rPr>
                <w:color w:val="000000" w:themeColor="text1"/>
                <w:sz w:val="20"/>
                <w:szCs w:val="20"/>
              </w:rPr>
            </w:pPr>
            <w:r w:rsidRPr="20C05A43">
              <w:rPr>
                <w:color w:val="000000" w:themeColor="text1"/>
                <w:sz w:val="20"/>
                <w:szCs w:val="20"/>
              </w:rPr>
              <w:t>BIOL-AST Degree based on BIOL-1A and BIOL-1B Outcomes:</w:t>
            </w:r>
          </w:p>
          <w:p w14:paraId="7EEC8632" w14:textId="625A0296" w:rsidR="00266533" w:rsidRDefault="633F2D11" w:rsidP="20C05A43">
            <w:pPr>
              <w:rPr>
                <w:color w:val="000000" w:themeColor="text1"/>
                <w:sz w:val="20"/>
                <w:szCs w:val="20"/>
              </w:rPr>
            </w:pPr>
            <w:r w:rsidRPr="20C05A43">
              <w:rPr>
                <w:color w:val="000000" w:themeColor="text1"/>
                <w:sz w:val="20"/>
                <w:szCs w:val="20"/>
              </w:rPr>
              <w:t>1. Demonstrate skills in the scientific methods used in the biological sciences.</w:t>
            </w:r>
          </w:p>
          <w:p w14:paraId="649F788C" w14:textId="55715B7B" w:rsidR="00266533" w:rsidRDefault="633F2D11" w:rsidP="20C05A43">
            <w:pPr>
              <w:pStyle w:val="ListParagraph"/>
              <w:numPr>
                <w:ilvl w:val="0"/>
                <w:numId w:val="44"/>
              </w:numPr>
              <w:rPr>
                <w:rFonts w:ascii="Times New Roman" w:eastAsia="Times New Roman" w:hAnsi="Times New Roman" w:cs="Times New Roman"/>
                <w:color w:val="212529"/>
                <w:sz w:val="20"/>
                <w:szCs w:val="20"/>
              </w:rPr>
            </w:pPr>
            <w:r w:rsidRPr="20C05A43">
              <w:rPr>
                <w:rFonts w:ascii="Times New Roman" w:eastAsia="Times New Roman" w:hAnsi="Times New Roman" w:cs="Times New Roman"/>
                <w:color w:val="000000" w:themeColor="text1"/>
                <w:sz w:val="20"/>
                <w:szCs w:val="20"/>
              </w:rPr>
              <w:t>Action Plan: (</w:t>
            </w:r>
            <w:r w:rsidRPr="20C05A43">
              <w:rPr>
                <w:rFonts w:ascii="Times New Roman" w:eastAsia="Times New Roman" w:hAnsi="Times New Roman" w:cs="Times New Roman"/>
                <w:color w:val="212529"/>
                <w:sz w:val="20"/>
                <w:szCs w:val="20"/>
              </w:rPr>
              <w:t xml:space="preserve">Students have difficulty understanding simple concepts of observation, </w:t>
            </w:r>
            <w:proofErr w:type="gramStart"/>
            <w:r w:rsidRPr="20C05A43">
              <w:rPr>
                <w:rFonts w:ascii="Times New Roman" w:eastAsia="Times New Roman" w:hAnsi="Times New Roman" w:cs="Times New Roman"/>
                <w:color w:val="212529"/>
                <w:sz w:val="20"/>
                <w:szCs w:val="20"/>
              </w:rPr>
              <w:t>hypothesis</w:t>
            </w:r>
            <w:proofErr w:type="gramEnd"/>
            <w:r w:rsidRPr="20C05A43">
              <w:rPr>
                <w:rFonts w:ascii="Times New Roman" w:eastAsia="Times New Roman" w:hAnsi="Times New Roman" w:cs="Times New Roman"/>
                <w:color w:val="212529"/>
                <w:sz w:val="20"/>
                <w:szCs w:val="20"/>
              </w:rPr>
              <w:t xml:space="preserve"> and test. Given an assignment to write down an observation, and hypothesis and test, student will routinely give a hypothesis </w:t>
            </w:r>
            <w:r w:rsidRPr="20C05A43">
              <w:rPr>
                <w:rFonts w:ascii="Times New Roman" w:eastAsia="Times New Roman" w:hAnsi="Times New Roman" w:cs="Times New Roman"/>
                <w:color w:val="212529"/>
                <w:sz w:val="20"/>
                <w:szCs w:val="20"/>
              </w:rPr>
              <w:lastRenderedPageBreak/>
              <w:t>instead of an observation.) Assignments / exercises to specifically require students to submit Observation / hypothesis / tests are implemented.</w:t>
            </w:r>
          </w:p>
          <w:p w14:paraId="7AB6E9B2" w14:textId="7FEDA376" w:rsidR="00266533" w:rsidRDefault="633F2D11" w:rsidP="20C05A43">
            <w:pPr>
              <w:rPr>
                <w:color w:val="212529"/>
                <w:sz w:val="20"/>
                <w:szCs w:val="20"/>
              </w:rPr>
            </w:pPr>
            <w:r w:rsidRPr="20C05A43">
              <w:rPr>
                <w:color w:val="212529"/>
                <w:sz w:val="20"/>
                <w:szCs w:val="20"/>
              </w:rPr>
              <w:t xml:space="preserve">2. Explain core concepts of biology: chemical makeup of biomolecules and their importance in the structure and function of the cell; functions of organelles, cellular processing, including respiration, photosynthesis, mitosis, meiosis, transcription/translation, and fundamental biological concepts in classical and molecular genetics, and molecular biology; classification, life cycles, physiology, anatomy and development of animals, Plants, Fungi, </w:t>
            </w:r>
            <w:proofErr w:type="gramStart"/>
            <w:r w:rsidRPr="20C05A43">
              <w:rPr>
                <w:color w:val="212529"/>
                <w:sz w:val="20"/>
                <w:szCs w:val="20"/>
              </w:rPr>
              <w:t>Protista</w:t>
            </w:r>
            <w:proofErr w:type="gramEnd"/>
            <w:r w:rsidRPr="20C05A43">
              <w:rPr>
                <w:color w:val="212529"/>
                <w:sz w:val="20"/>
                <w:szCs w:val="20"/>
              </w:rPr>
              <w:t xml:space="preserve"> and prokaryotes.</w:t>
            </w:r>
          </w:p>
          <w:p w14:paraId="13D55C7D" w14:textId="407A96F2" w:rsidR="00266533" w:rsidRDefault="633F2D11" w:rsidP="20C05A43">
            <w:pPr>
              <w:pStyle w:val="ListParagraph"/>
              <w:numPr>
                <w:ilvl w:val="0"/>
                <w:numId w:val="2"/>
              </w:numPr>
              <w:rPr>
                <w:rFonts w:ascii="Times New Roman" w:eastAsia="Times New Roman" w:hAnsi="Times New Roman" w:cs="Times New Roman"/>
                <w:color w:val="212529"/>
                <w:sz w:val="20"/>
                <w:szCs w:val="20"/>
              </w:rPr>
            </w:pPr>
            <w:r w:rsidRPr="20C05A43">
              <w:rPr>
                <w:rFonts w:ascii="Times New Roman" w:eastAsia="Times New Roman" w:hAnsi="Times New Roman" w:cs="Times New Roman"/>
                <w:color w:val="212529"/>
                <w:sz w:val="20"/>
                <w:szCs w:val="20"/>
              </w:rPr>
              <w:t>Action Plans: More questions on bonding patterns are implemented. The lab portions dealing with meiosis visualization have increased. This is combined with more practice problems to focus on crucial aspects of inheritance. Specifically, comparing independent assortment, and homologous recombination, and how distance leads to increased rates of homologous recombination and non-parental phenotypes. Flash cards to drill tissue identification are implemented. Study guides are updated.</w:t>
            </w:r>
          </w:p>
          <w:p w14:paraId="738ED8DE" w14:textId="20D82FA6" w:rsidR="00266533" w:rsidRDefault="633F2D11" w:rsidP="20C05A43">
            <w:pPr>
              <w:rPr>
                <w:color w:val="212529"/>
                <w:sz w:val="20"/>
                <w:szCs w:val="20"/>
              </w:rPr>
            </w:pPr>
            <w:r w:rsidRPr="20C05A43">
              <w:rPr>
                <w:color w:val="212529"/>
                <w:sz w:val="20"/>
                <w:szCs w:val="20"/>
              </w:rPr>
              <w:t>3. Explain the core concepts of evolution and ecology.</w:t>
            </w:r>
          </w:p>
          <w:p w14:paraId="356856E3" w14:textId="276AA169" w:rsidR="00266533" w:rsidRDefault="633F2D11" w:rsidP="20C05A43">
            <w:pPr>
              <w:pStyle w:val="ListParagraph"/>
              <w:numPr>
                <w:ilvl w:val="0"/>
                <w:numId w:val="1"/>
              </w:numPr>
              <w:rPr>
                <w:rFonts w:ascii="Times New Roman" w:eastAsia="Times New Roman" w:hAnsi="Times New Roman" w:cs="Times New Roman"/>
                <w:color w:val="212529"/>
                <w:sz w:val="20"/>
                <w:szCs w:val="20"/>
              </w:rPr>
            </w:pPr>
            <w:r w:rsidRPr="20C05A43">
              <w:rPr>
                <w:rFonts w:ascii="Times New Roman" w:eastAsia="Times New Roman" w:hAnsi="Times New Roman" w:cs="Times New Roman"/>
                <w:color w:val="212529"/>
                <w:sz w:val="20"/>
                <w:szCs w:val="20"/>
              </w:rPr>
              <w:t>Action plan: a comparison is made with and without the use of Courselets.org. Courselets.org proved to be working to overcome the learning gaps!</w:t>
            </w:r>
          </w:p>
          <w:p w14:paraId="6265694F" w14:textId="79A9024B" w:rsidR="00266533" w:rsidRDefault="00266533" w:rsidP="20C05A43">
            <w:pPr>
              <w:rPr>
                <w:color w:val="212529"/>
                <w:sz w:val="20"/>
                <w:szCs w:val="20"/>
              </w:rPr>
            </w:pPr>
          </w:p>
          <w:p w14:paraId="22A11A1C" w14:textId="20E70280" w:rsidR="00266533" w:rsidRDefault="00266533" w:rsidP="20C05A43">
            <w:pPr>
              <w:rPr>
                <w:rFonts w:ascii="Helvetica Neue" w:hAnsi="Helvetica Neue"/>
                <w:color w:val="000000" w:themeColor="text1"/>
                <w:sz w:val="22"/>
                <w:szCs w:val="22"/>
              </w:rPr>
            </w:pP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20C05A43">
        <w:tc>
          <w:tcPr>
            <w:tcW w:w="9926" w:type="dxa"/>
            <w:shd w:val="clear" w:color="auto" w:fill="auto"/>
          </w:tcPr>
          <w:p w14:paraId="0786D338" w14:textId="3B088E0F" w:rsidR="00266533" w:rsidRPr="00266533" w:rsidRDefault="63E90CA4" w:rsidP="50597374">
            <w:pPr>
              <w:pStyle w:val="paragraph"/>
              <w:spacing w:before="0" w:beforeAutospacing="0" w:after="0" w:afterAutospacing="0"/>
              <w:textAlignment w:val="baseline"/>
              <w:rPr>
                <w:rFonts w:ascii="Helvetica Neue" w:hAnsi="Helvetica Neue"/>
                <w:color w:val="000000" w:themeColor="text1"/>
                <w:sz w:val="22"/>
                <w:szCs w:val="22"/>
              </w:rPr>
            </w:pPr>
            <w:r w:rsidRPr="20C05A43">
              <w:rPr>
                <w:rFonts w:ascii="Helvetica Neue" w:hAnsi="Helvetica Neue"/>
                <w:b/>
                <w:bCs/>
                <w:sz w:val="22"/>
                <w:szCs w:val="22"/>
              </w:rPr>
              <w:lastRenderedPageBreak/>
              <w:t>6</w:t>
            </w:r>
            <w:r w:rsidR="67A73C08" w:rsidRPr="20C05A43">
              <w:rPr>
                <w:rFonts w:ascii="Helvetica Neue" w:hAnsi="Helvetica Neue"/>
                <w:b/>
                <w:bCs/>
                <w:sz w:val="22"/>
                <w:szCs w:val="22"/>
              </w:rPr>
              <w:t>c</w:t>
            </w:r>
            <w:r w:rsidR="1D297BE9" w:rsidRPr="20C05A43">
              <w:rPr>
                <w:rStyle w:val="normaltextrun"/>
                <w:rFonts w:ascii="Helvetica Neue" w:hAnsi="Helvetica Neue" w:cs="Arial"/>
                <w:b/>
                <w:bCs/>
                <w:color w:val="000000" w:themeColor="text1"/>
                <w:sz w:val="22"/>
                <w:szCs w:val="22"/>
              </w:rPr>
              <w:t xml:space="preserve">. </w:t>
            </w:r>
            <w:r w:rsidR="170FD21B" w:rsidRPr="20C05A4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170FD21B" w:rsidRPr="20C05A43">
              <w:rPr>
                <w:rStyle w:val="eop"/>
                <w:rFonts w:ascii="Helvetica Neue" w:hAnsi="Helvetica Neue" w:cs="Arial"/>
                <w:b/>
                <w:bCs/>
                <w:color w:val="000000" w:themeColor="text1"/>
                <w:sz w:val="22"/>
                <w:szCs w:val="22"/>
              </w:rPr>
              <w:t> </w:t>
            </w:r>
            <w:r w:rsidR="6823B711" w:rsidRPr="20C05A43">
              <w:rPr>
                <w:rFonts w:ascii="Helvetica Neue" w:hAnsi="Helvetica Neue"/>
                <w:color w:val="000000" w:themeColor="text1"/>
                <w:sz w:val="22"/>
                <w:szCs w:val="22"/>
              </w:rPr>
              <w:t xml:space="preserve"> </w:t>
            </w:r>
          </w:p>
        </w:tc>
      </w:tr>
      <w:tr w:rsidR="00266533" w:rsidRPr="00EC7286" w14:paraId="28C9772E" w14:textId="77777777" w:rsidTr="20C05A43">
        <w:tc>
          <w:tcPr>
            <w:tcW w:w="9926" w:type="dxa"/>
            <w:shd w:val="clear" w:color="auto" w:fill="FFF2CC" w:themeFill="accent4" w:themeFillTint="33"/>
          </w:tcPr>
          <w:p w14:paraId="3C278002" w14:textId="37D7B969" w:rsidR="00266533" w:rsidRDefault="15B657D1" w:rsidP="006B1C11">
            <w:pPr>
              <w:rPr>
                <w:rFonts w:ascii="Helvetica Neue" w:hAnsi="Helvetica Neue"/>
                <w:color w:val="000000" w:themeColor="text1"/>
                <w:sz w:val="22"/>
                <w:szCs w:val="22"/>
              </w:rPr>
            </w:pPr>
            <w:r w:rsidRPr="50597374">
              <w:rPr>
                <w:rFonts w:ascii="Helvetica Neue" w:hAnsi="Helvetica Neue"/>
                <w:color w:val="000000" w:themeColor="text1"/>
                <w:sz w:val="22"/>
                <w:szCs w:val="22"/>
              </w:rPr>
              <w:t>In round 4 all the courses were assessed. We are n</w:t>
            </w:r>
            <w:r w:rsidR="68BFCFC3" w:rsidRPr="50597374">
              <w:rPr>
                <w:rFonts w:ascii="Helvetica Neue" w:hAnsi="Helvetica Neue"/>
                <w:color w:val="000000" w:themeColor="text1"/>
                <w:sz w:val="22"/>
                <w:szCs w:val="22"/>
              </w:rPr>
              <w:t>ow in the fifth round and most courses are getting assessed. The Program L</w:t>
            </w:r>
            <w:r w:rsidR="383B8436" w:rsidRPr="50597374">
              <w:rPr>
                <w:rFonts w:ascii="Helvetica Neue" w:hAnsi="Helvetica Neue"/>
                <w:color w:val="000000" w:themeColor="text1"/>
                <w:sz w:val="22"/>
                <w:szCs w:val="22"/>
              </w:rPr>
              <w:t xml:space="preserve">earning Outcomes are </w:t>
            </w:r>
            <w:r w:rsidR="633946E4" w:rsidRPr="50597374">
              <w:rPr>
                <w:rFonts w:ascii="Helvetica Neue" w:hAnsi="Helvetica Neue"/>
                <w:color w:val="000000" w:themeColor="text1"/>
                <w:sz w:val="22"/>
                <w:szCs w:val="22"/>
              </w:rPr>
              <w:t>being</w:t>
            </w:r>
            <w:r w:rsidR="383B8436" w:rsidRPr="50597374">
              <w:rPr>
                <w:rFonts w:ascii="Helvetica Neue" w:hAnsi="Helvetica Neue"/>
                <w:color w:val="000000" w:themeColor="text1"/>
                <w:sz w:val="22"/>
                <w:szCs w:val="22"/>
              </w:rPr>
              <w:t xml:space="preserve"> assessed </w:t>
            </w:r>
            <w:r w:rsidR="6E86673C" w:rsidRPr="50597374">
              <w:rPr>
                <w:rFonts w:ascii="Helvetica Neue" w:hAnsi="Helvetica Neue"/>
                <w:color w:val="000000" w:themeColor="text1"/>
                <w:sz w:val="22"/>
                <w:szCs w:val="22"/>
              </w:rPr>
              <w:t>now</w:t>
            </w:r>
            <w:r w:rsidR="383B8436" w:rsidRPr="50597374">
              <w:rPr>
                <w:rFonts w:ascii="Helvetica Neue" w:hAnsi="Helvetica Neue"/>
                <w:color w:val="000000" w:themeColor="text1"/>
                <w:sz w:val="22"/>
                <w:szCs w:val="22"/>
              </w:rPr>
              <w:t>.</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20C05A43">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20C05A43">
        <w:tc>
          <w:tcPr>
            <w:tcW w:w="9926" w:type="dxa"/>
            <w:shd w:val="clear" w:color="auto" w:fill="FFF2CC" w:themeFill="accent4" w:themeFillTint="33"/>
          </w:tcPr>
          <w:p w14:paraId="44DD73B2" w14:textId="2C814479" w:rsidR="00266533" w:rsidRDefault="0A310537" w:rsidP="006B1C11">
            <w:r w:rsidRPr="50597374">
              <w:rPr>
                <w:rFonts w:ascii="Helvetica Neue" w:eastAsia="Helvetica Neue" w:hAnsi="Helvetica Neue" w:cs="Helvetica Neue"/>
                <w:color w:val="000000" w:themeColor="text1"/>
                <w:sz w:val="22"/>
                <w:szCs w:val="22"/>
              </w:rPr>
              <w:t xml:space="preserve">The Program level outcomes are listed on the Syllabi, Canvas page (e.g. </w:t>
            </w:r>
            <w:hyperlink r:id="rId35">
              <w:r w:rsidRPr="50597374">
                <w:rPr>
                  <w:rStyle w:val="Hyperlink"/>
                  <w:rFonts w:ascii="Helvetica Neue" w:eastAsia="Helvetica Neue" w:hAnsi="Helvetica Neue" w:cs="Helvetica Neue"/>
                  <w:sz w:val="22"/>
                  <w:szCs w:val="22"/>
                </w:rPr>
                <w:t>https://peralta.instructure.com/courses/44552/assignments/syllabus</w:t>
              </w:r>
            </w:hyperlink>
            <w:r w:rsidRPr="50597374">
              <w:rPr>
                <w:rFonts w:ascii="Helvetica Neue" w:eastAsia="Helvetica Neue" w:hAnsi="Helvetica Neue" w:cs="Helvetica Neue"/>
                <w:color w:val="000000" w:themeColor="text1"/>
                <w:sz w:val="22"/>
                <w:szCs w:val="22"/>
              </w:rPr>
              <w:t xml:space="preserve">) and of course in curricunet (e.g. </w:t>
            </w:r>
            <w:hyperlink r:id="rId36">
              <w:r w:rsidRPr="50597374">
                <w:rPr>
                  <w:rStyle w:val="Hyperlink"/>
                  <w:rFonts w:ascii="Helvetica Neue" w:eastAsia="Helvetica Neue" w:hAnsi="Helvetica Neue" w:cs="Helvetica Neue"/>
                  <w:sz w:val="22"/>
                  <w:szCs w:val="22"/>
                </w:rPr>
                <w:t>https://peralta.curricunet.com/Form/Program/Index/693</w:t>
              </w:r>
            </w:hyperlink>
            <w:r w:rsidRPr="50597374">
              <w:rPr>
                <w:rFonts w:ascii="Helvetica Neue" w:eastAsia="Helvetica Neue" w:hAnsi="Helvetica Neue" w:cs="Helvetica Neue"/>
                <w:color w:val="000000" w:themeColor="text1"/>
                <w:sz w:val="22"/>
                <w:szCs w:val="22"/>
              </w:rPr>
              <w:t>).</w:t>
            </w:r>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20C05A43">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20C05A43">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20C05A43">
        <w:tc>
          <w:tcPr>
            <w:tcW w:w="9926" w:type="dxa"/>
            <w:shd w:val="clear" w:color="auto" w:fill="FFF2CC" w:themeFill="accent4" w:themeFillTint="33"/>
          </w:tcPr>
          <w:p w14:paraId="5CA9DA65" w14:textId="48E6895F" w:rsidR="006F23C4" w:rsidRPr="006F23C4" w:rsidRDefault="355A0418" w:rsidP="50597374">
            <w:pPr>
              <w:spacing w:after="160" w:line="257" w:lineRule="auto"/>
            </w:pPr>
            <w:r w:rsidRPr="50597374">
              <w:rPr>
                <w:rFonts w:ascii="Helvetica Neue" w:eastAsia="Helvetica Neue" w:hAnsi="Helvetica Neue" w:cs="Helvetica Neue"/>
                <w:color w:val="FF0000"/>
                <w:sz w:val="22"/>
                <w:szCs w:val="22"/>
              </w:rPr>
              <w:t>Science Faculty are engaged in the following committees:</w:t>
            </w:r>
          </w:p>
          <w:p w14:paraId="115F3A64" w14:textId="37812EAF" w:rsidR="006F23C4" w:rsidRPr="006F23C4" w:rsidRDefault="355A0418" w:rsidP="50597374">
            <w:pPr>
              <w:spacing w:after="160" w:line="257" w:lineRule="auto"/>
            </w:pPr>
            <w:r w:rsidRPr="50597374">
              <w:rPr>
                <w:rFonts w:ascii="Helvetica Neue" w:eastAsia="Helvetica Neue" w:hAnsi="Helvetica Neue" w:cs="Helvetica Neue"/>
                <w:color w:val="FF0000"/>
                <w:sz w:val="22"/>
                <w:szCs w:val="22"/>
              </w:rPr>
              <w:t>Academic Senate</w:t>
            </w:r>
          </w:p>
          <w:p w14:paraId="718CB778" w14:textId="6F4071BB" w:rsidR="006F23C4" w:rsidRPr="006F23C4" w:rsidRDefault="355A0418" w:rsidP="50597374">
            <w:pPr>
              <w:spacing w:after="160" w:line="257" w:lineRule="auto"/>
            </w:pPr>
            <w:r w:rsidRPr="50597374">
              <w:rPr>
                <w:rFonts w:ascii="Helvetica Neue" w:eastAsia="Helvetica Neue" w:hAnsi="Helvetica Neue" w:cs="Helvetica Neue"/>
                <w:color w:val="FF0000"/>
                <w:sz w:val="22"/>
                <w:szCs w:val="22"/>
              </w:rPr>
              <w:t>Assessment Committee</w:t>
            </w:r>
          </w:p>
          <w:p w14:paraId="7251AEB4" w14:textId="7F87AB2C" w:rsidR="006F23C4" w:rsidRPr="006F23C4" w:rsidRDefault="355A0418" w:rsidP="50597374">
            <w:pPr>
              <w:spacing w:after="160" w:line="257" w:lineRule="auto"/>
            </w:pPr>
            <w:r w:rsidRPr="50597374">
              <w:rPr>
                <w:rFonts w:ascii="Helvetica Neue" w:eastAsia="Helvetica Neue" w:hAnsi="Helvetica Neue" w:cs="Helvetica Neue"/>
                <w:color w:val="FF0000"/>
                <w:sz w:val="22"/>
                <w:szCs w:val="22"/>
              </w:rPr>
              <w:t>Chair Committee</w:t>
            </w:r>
          </w:p>
          <w:p w14:paraId="4077BB95" w14:textId="7AAF5307" w:rsidR="006F23C4" w:rsidRPr="006F23C4" w:rsidRDefault="355A0418" w:rsidP="50597374">
            <w:pPr>
              <w:spacing w:after="160" w:line="257" w:lineRule="auto"/>
            </w:pPr>
            <w:r w:rsidRPr="50597374">
              <w:rPr>
                <w:rFonts w:ascii="Helvetica Neue" w:eastAsia="Helvetica Neue" w:hAnsi="Helvetica Neue" w:cs="Helvetica Neue"/>
                <w:color w:val="FF0000"/>
                <w:sz w:val="22"/>
                <w:szCs w:val="22"/>
              </w:rPr>
              <w:t>Department Meetings</w:t>
            </w:r>
          </w:p>
          <w:p w14:paraId="669F60FD" w14:textId="00ED9E72" w:rsidR="006F23C4" w:rsidRPr="006F23C4" w:rsidRDefault="355A0418" w:rsidP="50597374">
            <w:pPr>
              <w:spacing w:after="160" w:line="257" w:lineRule="auto"/>
            </w:pPr>
            <w:r w:rsidRPr="50597374">
              <w:rPr>
                <w:rFonts w:ascii="Helvetica Neue" w:eastAsia="Helvetica Neue" w:hAnsi="Helvetica Neue" w:cs="Helvetica Neue"/>
                <w:color w:val="FF0000"/>
                <w:sz w:val="22"/>
                <w:szCs w:val="22"/>
              </w:rPr>
              <w:lastRenderedPageBreak/>
              <w:t>Facility Committee</w:t>
            </w:r>
          </w:p>
          <w:p w14:paraId="6DFD3AB3" w14:textId="67967800" w:rsidR="006F23C4" w:rsidRPr="006F23C4" w:rsidRDefault="355A0418" w:rsidP="50597374">
            <w:pPr>
              <w:spacing w:after="160" w:line="257" w:lineRule="auto"/>
            </w:pPr>
            <w:r w:rsidRPr="50597374">
              <w:rPr>
                <w:rFonts w:ascii="Helvetica Neue" w:eastAsia="Helvetica Neue" w:hAnsi="Helvetica Neue" w:cs="Helvetica Neue"/>
                <w:color w:val="FF0000"/>
                <w:sz w:val="22"/>
                <w:szCs w:val="22"/>
              </w:rPr>
              <w:t>Guided Pathway Committee</w:t>
            </w:r>
          </w:p>
          <w:p w14:paraId="0E2BD81C" w14:textId="22AB414B" w:rsidR="006F23C4" w:rsidRPr="006F23C4" w:rsidRDefault="355A0418" w:rsidP="50597374">
            <w:pPr>
              <w:spacing w:after="160" w:line="257" w:lineRule="auto"/>
            </w:pPr>
            <w:r w:rsidRPr="50597374">
              <w:rPr>
                <w:rFonts w:ascii="Helvetica Neue" w:eastAsia="Helvetica Neue" w:hAnsi="Helvetica Neue" w:cs="Helvetica Neue"/>
                <w:color w:val="FF0000"/>
                <w:sz w:val="22"/>
                <w:szCs w:val="22"/>
              </w:rPr>
              <w:t>Hiring Committees</w:t>
            </w:r>
          </w:p>
          <w:p w14:paraId="66301FD9" w14:textId="43774FFF" w:rsidR="006F23C4" w:rsidRPr="006F23C4" w:rsidRDefault="355A0418" w:rsidP="50597374">
            <w:pPr>
              <w:spacing w:after="160" w:line="257" w:lineRule="auto"/>
            </w:pPr>
            <w:r w:rsidRPr="50597374">
              <w:rPr>
                <w:rFonts w:ascii="Helvetica Neue" w:eastAsia="Helvetica Neue" w:hAnsi="Helvetica Neue" w:cs="Helvetica Neue"/>
                <w:color w:val="FF0000"/>
                <w:sz w:val="22"/>
                <w:szCs w:val="22"/>
              </w:rPr>
              <w:t>Roundtable</w:t>
            </w:r>
          </w:p>
          <w:p w14:paraId="71CCF588" w14:textId="710B3715" w:rsidR="006F23C4" w:rsidRPr="006F23C4" w:rsidRDefault="355A0418" w:rsidP="50597374">
            <w:pPr>
              <w:spacing w:after="160" w:line="259" w:lineRule="auto"/>
              <w:rPr>
                <w:rFonts w:ascii="Helvetica Neue" w:eastAsia="Helvetica Neue" w:hAnsi="Helvetica Neue" w:cs="Helvetica Neue"/>
                <w:sz w:val="22"/>
                <w:szCs w:val="22"/>
              </w:rPr>
            </w:pPr>
            <w:r w:rsidRPr="50597374">
              <w:rPr>
                <w:rFonts w:ascii="Helvetica Neue" w:eastAsia="Helvetica Neue" w:hAnsi="Helvetica Neue" w:cs="Helvetica Neue"/>
                <w:color w:val="FF0000"/>
                <w:sz w:val="22"/>
                <w:szCs w:val="22"/>
              </w:rPr>
              <w:t>Tech Committee</w:t>
            </w:r>
          </w:p>
        </w:tc>
      </w:tr>
      <w:tr w:rsidR="006F23C4" w14:paraId="4D9BF74A" w14:textId="77777777" w:rsidTr="20C05A43">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14:paraId="5C847E50" w14:textId="77777777" w:rsidTr="20C05A43">
        <w:tc>
          <w:tcPr>
            <w:tcW w:w="9926" w:type="dxa"/>
            <w:shd w:val="clear" w:color="auto" w:fill="FFF2CC" w:themeFill="accent4" w:themeFillTint="33"/>
          </w:tcPr>
          <w:p w14:paraId="716B8678" w14:textId="5F33F5A9" w:rsidR="0684B6D1" w:rsidRDefault="1770EF10" w:rsidP="20C05A43">
            <w:pPr>
              <w:spacing w:line="257" w:lineRule="auto"/>
              <w:rPr>
                <w:rFonts w:ascii="Helvetica Neue" w:eastAsia="Helvetica Neue" w:hAnsi="Helvetica Neue" w:cs="Helvetica Neue"/>
                <w:sz w:val="22"/>
                <w:szCs w:val="22"/>
              </w:rPr>
            </w:pPr>
            <w:r w:rsidRPr="20C05A43">
              <w:rPr>
                <w:rFonts w:ascii="Helvetica Neue" w:eastAsia="Helvetica Neue" w:hAnsi="Helvetica Neue" w:cs="Helvetica Neue"/>
                <w:sz w:val="22"/>
                <w:szCs w:val="22"/>
              </w:rPr>
              <w:t>The faculty</w:t>
            </w:r>
            <w:r w:rsidR="4AFD66B2" w:rsidRPr="20C05A43">
              <w:rPr>
                <w:rFonts w:ascii="Helvetica Neue" w:eastAsia="Helvetica Neue" w:hAnsi="Helvetica Neue" w:cs="Helvetica Neue"/>
                <w:sz w:val="22"/>
                <w:szCs w:val="22"/>
              </w:rPr>
              <w:t xml:space="preserve"> </w:t>
            </w:r>
            <w:r w:rsidR="13364B9C" w:rsidRPr="20C05A43">
              <w:rPr>
                <w:rFonts w:ascii="Helvetica Neue" w:eastAsia="Helvetica Neue" w:hAnsi="Helvetica Neue" w:cs="Helvetica Neue"/>
                <w:sz w:val="22"/>
                <w:szCs w:val="22"/>
              </w:rPr>
              <w:t>reported</w:t>
            </w:r>
            <w:r w:rsidR="4AFD66B2" w:rsidRPr="20C05A43">
              <w:rPr>
                <w:rFonts w:ascii="Helvetica Neue" w:eastAsia="Helvetica Neue" w:hAnsi="Helvetica Neue" w:cs="Helvetica Neue"/>
                <w:sz w:val="22"/>
                <w:szCs w:val="22"/>
              </w:rPr>
              <w:t xml:space="preserve"> during the department meetings about the different committees.</w:t>
            </w:r>
          </w:p>
        </w:tc>
      </w:tr>
      <w:tr w:rsidR="006F23C4" w14:paraId="19CC9E2E" w14:textId="77777777" w:rsidTr="20C05A43">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20C05A43">
        <w:tc>
          <w:tcPr>
            <w:tcW w:w="9926" w:type="dxa"/>
            <w:shd w:val="clear" w:color="auto" w:fill="FFF2CC" w:themeFill="accent4" w:themeFillTint="33"/>
          </w:tcPr>
          <w:p w14:paraId="59DD036E" w14:textId="5782571A" w:rsidR="006F23C4" w:rsidRPr="006F23C4" w:rsidRDefault="2249ED26" w:rsidP="20C05A43">
            <w:pPr>
              <w:spacing w:after="160" w:line="259" w:lineRule="auto"/>
              <w:rPr>
                <w:rFonts w:ascii="Helvetica Neue" w:hAnsi="Helvetica Neue"/>
                <w:color w:val="000000" w:themeColor="text1"/>
                <w:sz w:val="22"/>
                <w:szCs w:val="22"/>
              </w:rPr>
            </w:pPr>
            <w:r w:rsidRPr="20C05A43">
              <w:rPr>
                <w:rFonts w:ascii="Helvetica Neue" w:hAnsi="Helvetica Neue"/>
                <w:color w:val="000000" w:themeColor="text1"/>
                <w:sz w:val="22"/>
                <w:szCs w:val="22"/>
              </w:rPr>
              <w:t xml:space="preserve">If adjunct faculty are present at the department </w:t>
            </w:r>
            <w:r w:rsidR="4569AD6A" w:rsidRPr="20C05A43">
              <w:rPr>
                <w:rFonts w:ascii="Helvetica Neue" w:hAnsi="Helvetica Neue"/>
                <w:color w:val="000000" w:themeColor="text1"/>
                <w:sz w:val="22"/>
                <w:szCs w:val="22"/>
              </w:rPr>
              <w:t>meetings,</w:t>
            </w:r>
            <w:r w:rsidRPr="20C05A43">
              <w:rPr>
                <w:rFonts w:ascii="Helvetica Neue" w:hAnsi="Helvetica Neue"/>
                <w:color w:val="000000" w:themeColor="text1"/>
                <w:sz w:val="22"/>
                <w:szCs w:val="22"/>
              </w:rPr>
              <w:t xml:space="preserve"> they are included </w:t>
            </w:r>
            <w:r w:rsidR="75F95A25" w:rsidRPr="20C05A43">
              <w:rPr>
                <w:rFonts w:ascii="Helvetica Neue" w:hAnsi="Helvetica Neue"/>
                <w:color w:val="000000" w:themeColor="text1"/>
                <w:sz w:val="22"/>
                <w:szCs w:val="22"/>
              </w:rPr>
              <w:t xml:space="preserve">in department training, discussions, and decision making. Julia Chang </w:t>
            </w:r>
            <w:r w:rsidR="69155AB4" w:rsidRPr="20C05A43">
              <w:rPr>
                <w:rFonts w:ascii="Helvetica Neue" w:hAnsi="Helvetica Neue"/>
                <w:color w:val="000000" w:themeColor="text1"/>
                <w:sz w:val="22"/>
                <w:szCs w:val="22"/>
              </w:rPr>
              <w:t>will take on the assessment liaison job for our department.</w:t>
            </w:r>
          </w:p>
        </w:tc>
      </w:tr>
      <w:tr w:rsidR="006F23C4" w14:paraId="6681A0BB" w14:textId="77777777" w:rsidTr="20C05A43">
        <w:tc>
          <w:tcPr>
            <w:tcW w:w="9926" w:type="dxa"/>
          </w:tcPr>
          <w:p w14:paraId="491284E8" w14:textId="37DDCEA9" w:rsidR="006F23C4" w:rsidRPr="006F23C4" w:rsidRDefault="726BF826" w:rsidP="006F23C4">
            <w:pPr>
              <w:pStyle w:val="ListParagraph"/>
              <w:numPr>
                <w:ilvl w:val="0"/>
                <w:numId w:val="30"/>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20C05A43">
        <w:tc>
          <w:tcPr>
            <w:tcW w:w="9926" w:type="dxa"/>
            <w:shd w:val="clear" w:color="auto" w:fill="FFF2CC" w:themeFill="accent4" w:themeFillTint="33"/>
          </w:tcPr>
          <w:p w14:paraId="38663093" w14:textId="0D6A9667" w:rsidR="00EB4E58" w:rsidRDefault="6FEE029A" w:rsidP="20C05A43">
            <w:pPr>
              <w:rPr>
                <w:rFonts w:ascii="Helvetica Neue" w:hAnsi="Helvetica Neue" w:cs="Segoe UI"/>
                <w:b/>
                <w:bCs/>
                <w:sz w:val="22"/>
                <w:szCs w:val="22"/>
              </w:rPr>
            </w:pPr>
            <w:r w:rsidRPr="20C05A43">
              <w:rPr>
                <w:rFonts w:ascii="Helvetica Neue" w:hAnsi="Helvetica Neue" w:cs="Segoe UI"/>
                <w:sz w:val="22"/>
                <w:szCs w:val="22"/>
              </w:rPr>
              <w:t xml:space="preserve">The Science department is a large department </w:t>
            </w:r>
            <w:r w:rsidR="15F98332" w:rsidRPr="20C05A43">
              <w:rPr>
                <w:rFonts w:ascii="Helvetica Neue" w:hAnsi="Helvetica Neue" w:cs="Segoe UI"/>
                <w:sz w:val="22"/>
                <w:szCs w:val="22"/>
              </w:rPr>
              <w:t>with many different disciplines</w:t>
            </w:r>
            <w:r w:rsidR="0D4E6F46" w:rsidRPr="20C05A43">
              <w:rPr>
                <w:rFonts w:ascii="Helvetica Neue" w:hAnsi="Helvetica Neue" w:cs="Segoe UI"/>
                <w:sz w:val="22"/>
                <w:szCs w:val="22"/>
              </w:rPr>
              <w:t xml:space="preserve"> (Astronomy, Biology, Biotechnology, Chemistry, Geography, </w:t>
            </w:r>
            <w:r w:rsidR="7A9A87A8" w:rsidRPr="20C05A43">
              <w:rPr>
                <w:rFonts w:ascii="Helvetica Neue" w:hAnsi="Helvetica Neue" w:cs="Segoe UI"/>
                <w:sz w:val="22"/>
                <w:szCs w:val="22"/>
              </w:rPr>
              <w:t xml:space="preserve">Geology, Physics, and Physical </w:t>
            </w:r>
            <w:r w:rsidR="17E8403B" w:rsidRPr="20C05A43">
              <w:rPr>
                <w:rFonts w:ascii="Helvetica Neue" w:hAnsi="Helvetica Neue" w:cs="Segoe UI"/>
                <w:sz w:val="22"/>
                <w:szCs w:val="22"/>
              </w:rPr>
              <w:t>Sciences) that</w:t>
            </w:r>
            <w:r w:rsidRPr="20C05A43">
              <w:rPr>
                <w:rFonts w:ascii="Helvetica Neue" w:hAnsi="Helvetica Neue" w:cs="Segoe UI"/>
                <w:sz w:val="22"/>
                <w:szCs w:val="22"/>
              </w:rPr>
              <w:t xml:space="preserve"> </w:t>
            </w:r>
            <w:r w:rsidR="668E3FDF" w:rsidRPr="20C05A43">
              <w:rPr>
                <w:rFonts w:ascii="Helvetica Neue" w:hAnsi="Helvetica Neue" w:cs="Segoe UI"/>
                <w:sz w:val="22"/>
                <w:szCs w:val="22"/>
              </w:rPr>
              <w:t>use</w:t>
            </w:r>
            <w:r w:rsidRPr="20C05A43">
              <w:rPr>
                <w:rFonts w:ascii="Helvetica Neue" w:hAnsi="Helvetica Neue" w:cs="Segoe UI"/>
                <w:sz w:val="22"/>
                <w:szCs w:val="22"/>
              </w:rPr>
              <w:t xml:space="preserve"> the tutor services in the LRC</w:t>
            </w:r>
            <w:r w:rsidR="6071F434" w:rsidRPr="20C05A43">
              <w:rPr>
                <w:rFonts w:ascii="Helvetica Neue" w:hAnsi="Helvetica Neue" w:cs="Segoe UI"/>
                <w:sz w:val="22"/>
                <w:szCs w:val="22"/>
              </w:rPr>
              <w:t>. Some faculty hold their office hours in this space for a more relaxed atmosphere.</w:t>
            </w:r>
          </w:p>
        </w:tc>
      </w:tr>
      <w:tr w:rsidR="006F23C4" w14:paraId="778B65BE" w14:textId="77777777" w:rsidTr="20C05A43">
        <w:tc>
          <w:tcPr>
            <w:tcW w:w="9926" w:type="dxa"/>
            <w:shd w:val="clear" w:color="auto" w:fill="auto"/>
          </w:tcPr>
          <w:p w14:paraId="1A34D2E5" w14:textId="01B7914E" w:rsidR="006F23C4" w:rsidRPr="00E35ADB" w:rsidRDefault="4741594B" w:rsidP="00E35ADB">
            <w:pPr>
              <w:rPr>
                <w:rFonts w:ascii="Helvetica Neue" w:hAnsi="Helvetica Neue"/>
                <w:b/>
                <w:bCs/>
                <w:color w:val="FF0000"/>
              </w:rPr>
            </w:pPr>
            <w:r w:rsidRPr="50597374">
              <w:rPr>
                <w:rFonts w:ascii="Helvetica Neue" w:hAnsi="Helvetica Neue"/>
                <w:b/>
                <w:bCs/>
                <w:color w:val="000000" w:themeColor="text1"/>
                <w:sz w:val="22"/>
                <w:szCs w:val="22"/>
              </w:rPr>
              <w:t xml:space="preserve">Are there </w:t>
            </w:r>
            <w:r w:rsidR="1EF53A4C" w:rsidRPr="50597374">
              <w:rPr>
                <w:rFonts w:ascii="Helvetica Neue" w:hAnsi="Helvetica Neue"/>
                <w:b/>
                <w:bCs/>
                <w:color w:val="000000" w:themeColor="text1"/>
                <w:sz w:val="22"/>
                <w:szCs w:val="22"/>
              </w:rPr>
              <w:t>areas where</w:t>
            </w:r>
            <w:r w:rsidRPr="50597374">
              <w:rPr>
                <w:rFonts w:ascii="Helvetica Neue" w:hAnsi="Helvetica Neue"/>
                <w:b/>
                <w:bCs/>
                <w:color w:val="000000" w:themeColor="text1"/>
                <w:sz w:val="22"/>
                <w:szCs w:val="22"/>
              </w:rPr>
              <w:t xml:space="preserve"> you feel that your department can benefit </w:t>
            </w:r>
            <w:r w:rsidR="02B6A194" w:rsidRPr="50597374">
              <w:rPr>
                <w:rFonts w:ascii="Helvetica Neue" w:hAnsi="Helvetica Neue"/>
                <w:b/>
                <w:bCs/>
                <w:color w:val="000000" w:themeColor="text1"/>
                <w:sz w:val="22"/>
                <w:szCs w:val="22"/>
              </w:rPr>
              <w:t>more by increasing collaboration and partnership?</w:t>
            </w:r>
            <w:r w:rsidRPr="50597374">
              <w:rPr>
                <w:rFonts w:ascii="Helvetica Neue" w:hAnsi="Helvetica Neue"/>
                <w:b/>
                <w:bCs/>
                <w:color w:val="000000" w:themeColor="text1"/>
                <w:sz w:val="22"/>
                <w:szCs w:val="22"/>
              </w:rPr>
              <w:t xml:space="preserve"> </w:t>
            </w:r>
            <w:r w:rsidR="5BB79224" w:rsidRPr="50597374">
              <w:rPr>
                <w:rFonts w:ascii="Helvetica Neue" w:hAnsi="Helvetica Neue"/>
                <w:b/>
                <w:bCs/>
                <w:color w:val="000000" w:themeColor="text1"/>
                <w:sz w:val="22"/>
                <w:szCs w:val="22"/>
              </w:rPr>
              <w:t>How?</w:t>
            </w:r>
          </w:p>
        </w:tc>
      </w:tr>
      <w:tr w:rsidR="00EB4E58" w14:paraId="653CEB1F" w14:textId="77777777" w:rsidTr="20C05A43">
        <w:tc>
          <w:tcPr>
            <w:tcW w:w="9926" w:type="dxa"/>
            <w:shd w:val="clear" w:color="auto" w:fill="FFF2CC" w:themeFill="accent4" w:themeFillTint="33"/>
          </w:tcPr>
          <w:p w14:paraId="7661AFFA" w14:textId="6CC81DB3" w:rsidR="00EB4E58" w:rsidRDefault="12653FB1" w:rsidP="20C05A43">
            <w:pPr>
              <w:rPr>
                <w:rFonts w:ascii="Helvetica Neue" w:hAnsi="Helvetica Neue" w:cs="Segoe UI"/>
                <w:sz w:val="22"/>
                <w:szCs w:val="22"/>
              </w:rPr>
            </w:pPr>
            <w:r w:rsidRPr="20C05A43">
              <w:rPr>
                <w:rFonts w:ascii="Helvetica Neue" w:hAnsi="Helvetica Neue" w:cs="Segoe UI"/>
                <w:sz w:val="22"/>
                <w:szCs w:val="22"/>
              </w:rPr>
              <w:t xml:space="preserve">We are in contact with </w:t>
            </w:r>
            <w:r w:rsidR="0F5670B4" w:rsidRPr="20C05A43">
              <w:rPr>
                <w:rFonts w:ascii="Helvetica Neue" w:hAnsi="Helvetica Neue" w:cs="Segoe UI"/>
                <w:sz w:val="22"/>
                <w:szCs w:val="22"/>
              </w:rPr>
              <w:t>Multimedia</w:t>
            </w:r>
            <w:r w:rsidRPr="20C05A43">
              <w:rPr>
                <w:rFonts w:ascii="Helvetica Neue" w:hAnsi="Helvetica Neue" w:cs="Segoe UI"/>
                <w:sz w:val="22"/>
                <w:szCs w:val="22"/>
              </w:rPr>
              <w:t xml:space="preserve"> Arts to promote our programs </w:t>
            </w:r>
            <w:r w:rsidR="3600ABF6" w:rsidRPr="20C05A43">
              <w:rPr>
                <w:rFonts w:ascii="Helvetica Neue" w:hAnsi="Helvetica Neue" w:cs="Segoe UI"/>
                <w:sz w:val="22"/>
                <w:szCs w:val="22"/>
              </w:rPr>
              <w:t>(advertising).</w:t>
            </w: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50597374">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50597374">
        <w:tc>
          <w:tcPr>
            <w:tcW w:w="9931" w:type="dxa"/>
            <w:shd w:val="clear" w:color="auto" w:fill="FFF2CC" w:themeFill="accent4" w:themeFillTint="33"/>
          </w:tcPr>
          <w:p w14:paraId="766D6D96" w14:textId="53EC2044" w:rsidR="00622BBB" w:rsidRPr="006B313F" w:rsidRDefault="5EE89AE7" w:rsidP="00E35ADB">
            <w:pPr>
              <w:pStyle w:val="NoSpacing"/>
              <w:rPr>
                <w:rFonts w:ascii="Helvetica Neue" w:hAnsi="Helvetica Neue" w:cs="Segoe UI"/>
              </w:rPr>
            </w:pPr>
            <w:r w:rsidRPr="50597374">
              <w:rPr>
                <w:rFonts w:ascii="Helvetica Neue" w:hAnsi="Helvetica Neue"/>
                <w:b/>
                <w:bCs/>
                <w:color w:val="000000" w:themeColor="text1"/>
              </w:rPr>
              <w:t>During the 2021-22 Comprehensive Program Review process, you have provided your resource requests which went through the IPAR process. </w:t>
            </w:r>
            <w:r w:rsidRPr="50597374">
              <w:rPr>
                <w:rStyle w:val="apple-converted-space"/>
                <w:rFonts w:ascii="Helvetica Neue" w:hAnsi="Helvetica Neue"/>
                <w:b/>
                <w:bCs/>
                <w:color w:val="000000" w:themeColor="text1"/>
              </w:rPr>
              <w:t> </w:t>
            </w:r>
            <w:r w:rsidRPr="50597374">
              <w:rPr>
                <w:rFonts w:ascii="Helvetica Neue" w:hAnsi="Helvetica Neue"/>
                <w:b/>
                <w:bCs/>
                <w:color w:val="000000" w:themeColor="text1"/>
              </w:rPr>
              <w:t>In this section, include resource requests from last year that are still needed and/or new resources that have emerged</w:t>
            </w:r>
            <w:r w:rsidR="4AB827FB" w:rsidRPr="50597374">
              <w:rPr>
                <w:rFonts w:ascii="Helvetica Neue" w:hAnsi="Helvetica Neue"/>
                <w:b/>
                <w:bCs/>
                <w:color w:val="000000" w:themeColor="text1"/>
              </w:rPr>
              <w:t>.</w:t>
            </w:r>
            <w:r w:rsidRPr="50597374">
              <w:rPr>
                <w:rFonts w:ascii="Helvetica Neue" w:hAnsi="Helvetica Neue"/>
                <w:b/>
                <w:bCs/>
                <w:color w:val="000000" w:themeColor="text1"/>
              </w:rPr>
              <w:t>  Provide justifications.</w:t>
            </w:r>
            <w:r w:rsidRPr="50597374">
              <w:rPr>
                <w:rFonts w:ascii="Helvetica Neue" w:hAnsi="Helvetica Neue"/>
                <w:b/>
                <w:bCs/>
                <w:color w:val="000000" w:themeColor="text1"/>
                <w:sz w:val="28"/>
                <w:szCs w:val="28"/>
              </w:rPr>
              <w:t xml:space="preserve"> </w:t>
            </w:r>
            <w:r w:rsidRPr="50597374">
              <w:rPr>
                <w:rFonts w:ascii="Helvetica Neue" w:hAnsi="Helvetica Neue"/>
                <w:b/>
                <w:bCs/>
                <w:color w:val="000000" w:themeColor="text1"/>
              </w:rPr>
              <w:t xml:space="preserve">If there are no </w:t>
            </w:r>
            <w:r w:rsidR="083C2D9F" w:rsidRPr="50597374">
              <w:rPr>
                <w:rFonts w:ascii="Helvetica Neue" w:hAnsi="Helvetica Neue"/>
                <w:b/>
                <w:bCs/>
                <w:color w:val="000000" w:themeColor="text1"/>
              </w:rPr>
              <w:t>resources</w:t>
            </w:r>
            <w:r w:rsidRPr="50597374">
              <w:rPr>
                <w:rFonts w:ascii="Helvetica Neue" w:hAnsi="Helvetica Neue"/>
                <w:b/>
                <w:bCs/>
                <w:color w:val="000000" w:themeColor="text1"/>
              </w:rPr>
              <w:t xml:space="preserv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20C05A43">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20C05A43">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20C05A43">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20C05A43">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20C05A43">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20C05A43">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20C05A43">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20C05A43">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20C05A43">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20C05A43">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20C05A43">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20993C5F" w:rsidR="00B50496" w:rsidRPr="009560EE" w:rsidRDefault="00B50496" w:rsidP="00FE5757">
            <w:pPr>
              <w:rPr>
                <w:rFonts w:ascii="Helvetica Neue" w:hAnsi="Helvetica Neue" w:cs="Segoe UI"/>
                <w:sz w:val="20"/>
                <w:szCs w:val="20"/>
              </w:rPr>
            </w:pPr>
          </w:p>
        </w:tc>
      </w:tr>
      <w:tr w:rsidR="00B50496" w:rsidRPr="00EC7286" w14:paraId="19B7842B" w14:textId="5D18AE41" w:rsidTr="20C05A43">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1DC2D57D"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1678D7F6" w:rsidR="00B50496" w:rsidRPr="009560EE" w:rsidRDefault="00B50496" w:rsidP="00FE5757">
            <w:pPr>
              <w:rPr>
                <w:rFonts w:ascii="Helvetica Neue" w:hAnsi="Helvetica Neue" w:cs="Segoe UI"/>
                <w:sz w:val="20"/>
                <w:szCs w:val="20"/>
              </w:rPr>
            </w:pPr>
          </w:p>
        </w:tc>
      </w:tr>
      <w:tr w:rsidR="00B50496" w:rsidRPr="00EC7286" w14:paraId="5FAE3043" w14:textId="71F7F143" w:rsidTr="20C05A43">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20C05A43">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7"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20C05A43">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20C05A43">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20C05A43">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20C05A43">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20C05A43">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50597374"/>
        </w:tc>
      </w:tr>
      <w:tr w:rsidR="00B50496" w:rsidRPr="00EC7286" w14:paraId="0944A8D6" w14:textId="00FEBE9E" w:rsidTr="20C05A43">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534EB9C0" w:rsidR="00B50496" w:rsidRPr="00E35ADB" w:rsidRDefault="70AC2568" w:rsidP="50597374">
            <w:pPr>
              <w:rPr>
                <w:rFonts w:ascii="Helvetica Neue" w:hAnsi="Helvetica Neue" w:cs="Segoe UI"/>
                <w:sz w:val="20"/>
                <w:szCs w:val="20"/>
              </w:rPr>
            </w:pPr>
            <w:r w:rsidRPr="20C05A43">
              <w:rPr>
                <w:rFonts w:ascii="Helvetica Neue" w:hAnsi="Helvetica Neue" w:cs="Segoe UI"/>
                <w:sz w:val="20"/>
                <w:szCs w:val="20"/>
              </w:rPr>
              <w:t xml:space="preserve">Change the existing projectors in labs 513, </w:t>
            </w:r>
            <w:r w:rsidR="7C608C3B" w:rsidRPr="20C05A43">
              <w:rPr>
                <w:rFonts w:ascii="Helvetica Neue" w:hAnsi="Helvetica Neue" w:cs="Segoe UI"/>
                <w:sz w:val="20"/>
                <w:szCs w:val="20"/>
              </w:rPr>
              <w:t xml:space="preserve">514, </w:t>
            </w:r>
            <w:r w:rsidR="230931AA" w:rsidRPr="20C05A43">
              <w:rPr>
                <w:rFonts w:ascii="Helvetica Neue" w:hAnsi="Helvetica Neue" w:cs="Segoe UI"/>
                <w:sz w:val="20"/>
                <w:szCs w:val="20"/>
              </w:rPr>
              <w:t>518,</w:t>
            </w:r>
            <w:r w:rsidR="738E140E" w:rsidRPr="20C05A43">
              <w:rPr>
                <w:rFonts w:ascii="Helvetica Neue" w:hAnsi="Helvetica Neue" w:cs="Segoe UI"/>
                <w:sz w:val="20"/>
                <w:szCs w:val="20"/>
              </w:rPr>
              <w:t xml:space="preserve"> 521, and</w:t>
            </w:r>
            <w:r w:rsidR="230931AA" w:rsidRPr="20C05A43">
              <w:rPr>
                <w:rFonts w:ascii="Helvetica Neue" w:hAnsi="Helvetica Neue" w:cs="Segoe UI"/>
                <w:sz w:val="20"/>
                <w:szCs w:val="20"/>
              </w:rPr>
              <w:t xml:space="preserve"> </w:t>
            </w:r>
            <w:r w:rsidRPr="20C05A43">
              <w:rPr>
                <w:rFonts w:ascii="Helvetica Neue" w:hAnsi="Helvetica Neue" w:cs="Segoe UI"/>
                <w:sz w:val="20"/>
                <w:szCs w:val="20"/>
              </w:rPr>
              <w:t>52</w:t>
            </w:r>
            <w:r w:rsidR="6B727BF3" w:rsidRPr="20C05A43">
              <w:rPr>
                <w:rFonts w:ascii="Helvetica Neue" w:hAnsi="Helvetica Neue" w:cs="Segoe UI"/>
                <w:sz w:val="20"/>
                <w:szCs w:val="20"/>
              </w:rPr>
              <w:t>2</w:t>
            </w:r>
            <w:r w:rsidRPr="20C05A43">
              <w:rPr>
                <w:rFonts w:ascii="Helvetica Neue" w:hAnsi="Helvetica Neue" w:cs="Segoe UI"/>
                <w:sz w:val="20"/>
                <w:szCs w:val="20"/>
              </w:rPr>
              <w:t>, with LED projectors.</w:t>
            </w:r>
            <w:r w:rsidR="26C6652E" w:rsidRPr="20C05A43">
              <w:rPr>
                <w:rFonts w:ascii="Helvetica Neue" w:hAnsi="Helvetica Neue" w:cs="Segoe UI"/>
                <w:sz w:val="20"/>
                <w:szCs w:val="20"/>
              </w:rPr>
              <w:t xml:space="preserve"> They are much cheaper in the long run, because the bulbs, if they </w:t>
            </w:r>
            <w:r w:rsidR="4ABD9F4C" w:rsidRPr="20C05A43">
              <w:rPr>
                <w:rFonts w:ascii="Helvetica Neue" w:hAnsi="Helvetica Neue" w:cs="Segoe UI"/>
                <w:sz w:val="20"/>
                <w:szCs w:val="20"/>
              </w:rPr>
              <w:t>fail,</w:t>
            </w:r>
            <w:r w:rsidR="26C6652E" w:rsidRPr="20C05A43">
              <w:rPr>
                <w:rFonts w:ascii="Helvetica Neue" w:hAnsi="Helvetica Neue" w:cs="Segoe UI"/>
                <w:sz w:val="20"/>
                <w:szCs w:val="20"/>
              </w:rPr>
              <w:t xml:space="preserve"> </w:t>
            </w:r>
            <w:r w:rsidR="709B0BED" w:rsidRPr="20C05A43">
              <w:rPr>
                <w:rFonts w:ascii="Helvetica Neue" w:hAnsi="Helvetica Neue" w:cs="Segoe UI"/>
                <w:sz w:val="20"/>
                <w:szCs w:val="20"/>
              </w:rPr>
              <w:t>are very costly.</w:t>
            </w:r>
            <w:r w:rsidR="7AA343A4" w:rsidRPr="20C05A43">
              <w:rPr>
                <w:rFonts w:ascii="Helvetica Neue" w:hAnsi="Helvetica Neue" w:cs="Segoe UI"/>
                <w:sz w:val="20"/>
                <w:szCs w:val="20"/>
              </w:rPr>
              <w:t xml:space="preserve"> </w:t>
            </w:r>
            <w:r w:rsidR="7DCF7249" w:rsidRPr="20C05A43">
              <w:rPr>
                <w:rFonts w:ascii="Helvetica Neue" w:hAnsi="Helvetica Neue" w:cs="Segoe UI"/>
                <w:sz w:val="20"/>
                <w:szCs w:val="20"/>
              </w:rPr>
              <w:t>Also,</w:t>
            </w:r>
            <w:r w:rsidR="7AA343A4" w:rsidRPr="20C05A43">
              <w:rPr>
                <w:rFonts w:ascii="Helvetica Neue" w:hAnsi="Helvetica Neue" w:cs="Segoe UI"/>
                <w:sz w:val="20"/>
                <w:szCs w:val="20"/>
              </w:rPr>
              <w:t xml:space="preserve"> </w:t>
            </w:r>
            <w:r w:rsidR="3EB9EE67" w:rsidRPr="20C05A43">
              <w:rPr>
                <w:rFonts w:ascii="Helvetica Neue" w:hAnsi="Helvetica Neue" w:cs="Segoe UI"/>
                <w:sz w:val="20"/>
                <w:szCs w:val="20"/>
              </w:rPr>
              <w:t>laptops</w:t>
            </w:r>
            <w:r w:rsidR="7AA343A4" w:rsidRPr="20C05A43">
              <w:rPr>
                <w:rFonts w:ascii="Helvetica Neue" w:hAnsi="Helvetica Neue" w:cs="Segoe UI"/>
                <w:sz w:val="20"/>
                <w:szCs w:val="20"/>
              </w:rPr>
              <w:t xml:space="preserve"> should replace </w:t>
            </w:r>
            <w:proofErr w:type="gramStart"/>
            <w:r w:rsidR="626595EB" w:rsidRPr="20C05A43">
              <w:rPr>
                <w:rFonts w:ascii="Helvetica Neue" w:hAnsi="Helvetica Neue" w:cs="Segoe UI"/>
                <w:sz w:val="20"/>
                <w:szCs w:val="20"/>
              </w:rPr>
              <w:t>desktops</w:t>
            </w:r>
            <w:r w:rsidR="7AA343A4" w:rsidRPr="20C05A43">
              <w:rPr>
                <w:rFonts w:ascii="Helvetica Neue" w:hAnsi="Helvetica Neue" w:cs="Segoe UI"/>
                <w:sz w:val="20"/>
                <w:szCs w:val="20"/>
              </w:rPr>
              <w:t>, because</w:t>
            </w:r>
            <w:proofErr w:type="gramEnd"/>
            <w:r w:rsidR="7AA343A4" w:rsidRPr="20C05A43">
              <w:rPr>
                <w:rFonts w:ascii="Helvetica Neue" w:hAnsi="Helvetica Neue" w:cs="Segoe UI"/>
                <w:sz w:val="20"/>
                <w:szCs w:val="20"/>
              </w:rPr>
              <w:t xml:space="preserve"> the </w:t>
            </w:r>
            <w:r w:rsidR="2AC5FA57" w:rsidRPr="20C05A43">
              <w:rPr>
                <w:rFonts w:ascii="Helvetica Neue" w:hAnsi="Helvetica Neue" w:cs="Segoe UI"/>
                <w:sz w:val="20"/>
                <w:szCs w:val="20"/>
              </w:rPr>
              <w:t>desktops block the view to the screen and whiteboard.</w:t>
            </w:r>
            <w:r w:rsidR="7AA343A4" w:rsidRPr="20C05A43">
              <w:rPr>
                <w:rFonts w:ascii="Helvetica Neue" w:hAnsi="Helvetica Neue" w:cs="Segoe UI"/>
                <w:sz w:val="20"/>
                <w:szCs w:val="20"/>
              </w:rPr>
              <w:t xml:space="preserve">  </w:t>
            </w:r>
          </w:p>
        </w:tc>
        <w:tc>
          <w:tcPr>
            <w:tcW w:w="1805" w:type="dxa"/>
            <w:shd w:val="clear" w:color="auto" w:fill="FFF2CC" w:themeFill="accent4" w:themeFillTint="33"/>
          </w:tcPr>
          <w:p w14:paraId="68A6FE4D" w14:textId="4184A016" w:rsidR="00B50496" w:rsidRPr="00E35ADB" w:rsidRDefault="3874C252" w:rsidP="50597374">
            <w:pPr>
              <w:rPr>
                <w:rFonts w:ascii="Helvetica Neue" w:hAnsi="Helvetica Neue" w:cs="Segoe UI"/>
                <w:sz w:val="20"/>
                <w:szCs w:val="20"/>
              </w:rPr>
            </w:pPr>
            <w:commentRangeStart w:id="3"/>
            <w:r w:rsidRPr="20C05A43">
              <w:rPr>
                <w:rFonts w:ascii="Helvetica Neue" w:hAnsi="Helvetica Neue" w:cs="Segoe UI"/>
                <w:sz w:val="20"/>
                <w:szCs w:val="20"/>
              </w:rPr>
              <w:t>$</w:t>
            </w:r>
            <w:r w:rsidR="459223B3" w:rsidRPr="20C05A43">
              <w:rPr>
                <w:rFonts w:ascii="Helvetica Neue" w:hAnsi="Helvetica Neue" w:cs="Segoe UI"/>
                <w:sz w:val="20"/>
                <w:szCs w:val="20"/>
              </w:rPr>
              <w:t>20</w:t>
            </w:r>
            <w:r w:rsidRPr="20C05A43">
              <w:rPr>
                <w:rFonts w:ascii="Helvetica Neue" w:hAnsi="Helvetica Neue" w:cs="Segoe UI"/>
                <w:sz w:val="20"/>
                <w:szCs w:val="20"/>
              </w:rPr>
              <w:t>,000</w:t>
            </w:r>
            <w:commentRangeEnd w:id="3"/>
            <w:r w:rsidR="00B50496">
              <w:rPr>
                <w:rStyle w:val="CommentReference"/>
              </w:rPr>
              <w:commentReference w:id="3"/>
            </w:r>
          </w:p>
          <w:p w14:paraId="716D4D8A" w14:textId="711039B4" w:rsidR="00B50496" w:rsidRPr="00E35ADB" w:rsidRDefault="00B50496" w:rsidP="50597374"/>
        </w:tc>
      </w:tr>
      <w:tr w:rsidR="00B50496" w:rsidRPr="00EC7286" w14:paraId="7E51A990" w14:textId="77C689E0" w:rsidTr="20C05A43">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50597374"/>
        </w:tc>
      </w:tr>
      <w:tr w:rsidR="00593877" w:rsidRPr="00EC7286" w14:paraId="7F4109C1" w14:textId="3918E368" w:rsidTr="20C05A43">
        <w:tblPrEx>
          <w:jc w:val="left"/>
        </w:tblPrEx>
        <w:trPr>
          <w:trHeight w:val="300"/>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20C05A43">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20C05A43">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20C05A43">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20C05A43">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20C05A43">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9"/>
      <w:footerReference w:type="default" r:id="rId40"/>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uni Hay" w:date="2022-10-13T09:59:00Z" w:initials="KH">
    <w:p w14:paraId="4C7DE81B" w14:textId="17CE0EE7" w:rsidR="00FE5757" w:rsidRDefault="00FE5757">
      <w:pPr>
        <w:pStyle w:val="CommentText"/>
      </w:pPr>
      <w:r>
        <w:rPr>
          <w:rStyle w:val="CommentReference"/>
        </w:rPr>
        <w:annotationRef/>
      </w:r>
      <w:r>
        <w:t>Can we include BCC’ overall retention, success and completion rate from Phoumy Becky data slides here?</w:t>
      </w:r>
    </w:p>
  </w:comment>
  <w:comment w:id="2"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 w:id="3" w:author="Pieter DeHaan" w:date="2022-11-21T11:44:00Z" w:initials="PD">
    <w:p w14:paraId="02C737BE" w14:textId="4354A204" w:rsidR="50597374" w:rsidRDefault="50597374">
      <w:pPr>
        <w:pStyle w:val="CommentText"/>
      </w:pPr>
      <w:r>
        <w:t>Joe Bay estimates $4000 per projector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Ex w15:paraId="02C73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38C5292" w16cex:dateUtc="2022-11-21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Id w16cid:paraId="02C737BE" w16cid:durableId="438C52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A486" w14:textId="77777777" w:rsidR="00163833" w:rsidRDefault="00163833" w:rsidP="000A0E4A">
      <w:r>
        <w:separator/>
      </w:r>
    </w:p>
  </w:endnote>
  <w:endnote w:type="continuationSeparator" w:id="0">
    <w:p w14:paraId="3D539FCF" w14:textId="77777777" w:rsidR="00163833" w:rsidRDefault="00163833" w:rsidP="000A0E4A">
      <w:r>
        <w:continuationSeparator/>
      </w:r>
    </w:p>
  </w:endnote>
  <w:endnote w:type="continuationNotice" w:id="1">
    <w:p w14:paraId="001D9714" w14:textId="77777777" w:rsidR="00163833" w:rsidRDefault="00163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Times">
    <w:altName w:val="Times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A17C" w14:textId="77777777" w:rsidR="00163833" w:rsidRDefault="00163833" w:rsidP="000A0E4A">
      <w:r>
        <w:separator/>
      </w:r>
    </w:p>
  </w:footnote>
  <w:footnote w:type="continuationSeparator" w:id="0">
    <w:p w14:paraId="6224D6D1" w14:textId="77777777" w:rsidR="00163833" w:rsidRDefault="00163833" w:rsidP="000A0E4A">
      <w:r>
        <w:continuationSeparator/>
      </w:r>
    </w:p>
  </w:footnote>
  <w:footnote w:type="continuationNotice" w:id="1">
    <w:p w14:paraId="75B81C65" w14:textId="77777777" w:rsidR="00163833" w:rsidRDefault="00163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intelligence2.xml><?xml version="1.0" encoding="utf-8"?>
<int2:intelligence xmlns:int2="http://schemas.microsoft.com/office/intelligence/2020/intelligence" xmlns:oel="http://schemas.microsoft.com/office/2019/extlst">
  <int2:observations>
    <int2:textHash int2:hashCode="RbEooTjXR38mom" int2:id="XCdLJKVt">
      <int2:state int2:value="Rejected" int2:type="LegacyProofing"/>
    </int2:textHash>
    <int2:textHash int2:hashCode="kU9IDK9UkqMP2q" int2:id="HBiX64D0">
      <int2:state int2:value="Rejected" int2:type="LegacyProofing"/>
    </int2:textHash>
    <int2:bookmark int2:bookmarkName="_Int_RkB6ruw0" int2:invalidationBookmarkName="" int2:hashCode="wMsTnM40dp+37Z" int2:id="2Df81zC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3D47B4D"/>
    <w:multiLevelType w:val="hybridMultilevel"/>
    <w:tmpl w:val="36F479AA"/>
    <w:lvl w:ilvl="0" w:tplc="1340F0E0">
      <w:start w:val="1"/>
      <w:numFmt w:val="bullet"/>
      <w:lvlText w:val=""/>
      <w:lvlJc w:val="left"/>
      <w:pPr>
        <w:ind w:left="720" w:hanging="360"/>
      </w:pPr>
      <w:rPr>
        <w:rFonts w:ascii="Symbol" w:hAnsi="Symbol" w:hint="default"/>
      </w:rPr>
    </w:lvl>
    <w:lvl w:ilvl="1" w:tplc="8C1C72F4">
      <w:start w:val="1"/>
      <w:numFmt w:val="bullet"/>
      <w:lvlText w:val="o"/>
      <w:lvlJc w:val="left"/>
      <w:pPr>
        <w:ind w:left="1440" w:hanging="360"/>
      </w:pPr>
      <w:rPr>
        <w:rFonts w:ascii="Courier New" w:hAnsi="Courier New" w:hint="default"/>
      </w:rPr>
    </w:lvl>
    <w:lvl w:ilvl="2" w:tplc="90CC5BB8">
      <w:start w:val="1"/>
      <w:numFmt w:val="bullet"/>
      <w:lvlText w:val=""/>
      <w:lvlJc w:val="left"/>
      <w:pPr>
        <w:ind w:left="2160" w:hanging="360"/>
      </w:pPr>
      <w:rPr>
        <w:rFonts w:ascii="Wingdings" w:hAnsi="Wingdings" w:hint="default"/>
      </w:rPr>
    </w:lvl>
    <w:lvl w:ilvl="3" w:tplc="19AC4FA0">
      <w:start w:val="1"/>
      <w:numFmt w:val="bullet"/>
      <w:lvlText w:val=""/>
      <w:lvlJc w:val="left"/>
      <w:pPr>
        <w:ind w:left="2880" w:hanging="360"/>
      </w:pPr>
      <w:rPr>
        <w:rFonts w:ascii="Symbol" w:hAnsi="Symbol" w:hint="default"/>
      </w:rPr>
    </w:lvl>
    <w:lvl w:ilvl="4" w:tplc="334AF532">
      <w:start w:val="1"/>
      <w:numFmt w:val="bullet"/>
      <w:lvlText w:val="o"/>
      <w:lvlJc w:val="left"/>
      <w:pPr>
        <w:ind w:left="3600" w:hanging="360"/>
      </w:pPr>
      <w:rPr>
        <w:rFonts w:ascii="Courier New" w:hAnsi="Courier New" w:hint="default"/>
      </w:rPr>
    </w:lvl>
    <w:lvl w:ilvl="5" w:tplc="1472CA3E">
      <w:start w:val="1"/>
      <w:numFmt w:val="bullet"/>
      <w:lvlText w:val=""/>
      <w:lvlJc w:val="left"/>
      <w:pPr>
        <w:ind w:left="4320" w:hanging="360"/>
      </w:pPr>
      <w:rPr>
        <w:rFonts w:ascii="Wingdings" w:hAnsi="Wingdings" w:hint="default"/>
      </w:rPr>
    </w:lvl>
    <w:lvl w:ilvl="6" w:tplc="5EA07DDA">
      <w:start w:val="1"/>
      <w:numFmt w:val="bullet"/>
      <w:lvlText w:val=""/>
      <w:lvlJc w:val="left"/>
      <w:pPr>
        <w:ind w:left="5040" w:hanging="360"/>
      </w:pPr>
      <w:rPr>
        <w:rFonts w:ascii="Symbol" w:hAnsi="Symbol" w:hint="default"/>
      </w:rPr>
    </w:lvl>
    <w:lvl w:ilvl="7" w:tplc="B1C41EAE">
      <w:start w:val="1"/>
      <w:numFmt w:val="bullet"/>
      <w:lvlText w:val="o"/>
      <w:lvlJc w:val="left"/>
      <w:pPr>
        <w:ind w:left="5760" w:hanging="360"/>
      </w:pPr>
      <w:rPr>
        <w:rFonts w:ascii="Courier New" w:hAnsi="Courier New" w:hint="default"/>
      </w:rPr>
    </w:lvl>
    <w:lvl w:ilvl="8" w:tplc="59545576">
      <w:start w:val="1"/>
      <w:numFmt w:val="bullet"/>
      <w:lvlText w:val=""/>
      <w:lvlJc w:val="left"/>
      <w:pPr>
        <w:ind w:left="6480" w:hanging="360"/>
      </w:pPr>
      <w:rPr>
        <w:rFonts w:ascii="Wingdings" w:hAnsi="Wingdings" w:hint="default"/>
      </w:rPr>
    </w:lvl>
  </w:abstractNum>
  <w:abstractNum w:abstractNumId="2"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4"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D1667"/>
    <w:multiLevelType w:val="hybridMultilevel"/>
    <w:tmpl w:val="4146961A"/>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C7D0A"/>
    <w:multiLevelType w:val="hybridMultilevel"/>
    <w:tmpl w:val="F70417D8"/>
    <w:lvl w:ilvl="0" w:tplc="363E76B2">
      <w:start w:val="1"/>
      <w:numFmt w:val="bullet"/>
      <w:lvlText w:val=""/>
      <w:lvlJc w:val="left"/>
      <w:pPr>
        <w:ind w:left="720" w:hanging="360"/>
      </w:pPr>
      <w:rPr>
        <w:rFonts w:ascii="Symbol" w:hAnsi="Symbol" w:hint="default"/>
      </w:rPr>
    </w:lvl>
    <w:lvl w:ilvl="1" w:tplc="E94479A0">
      <w:start w:val="1"/>
      <w:numFmt w:val="bullet"/>
      <w:lvlText w:val="o"/>
      <w:lvlJc w:val="left"/>
      <w:pPr>
        <w:ind w:left="1440" w:hanging="360"/>
      </w:pPr>
      <w:rPr>
        <w:rFonts w:ascii="Courier New" w:hAnsi="Courier New" w:hint="default"/>
      </w:rPr>
    </w:lvl>
    <w:lvl w:ilvl="2" w:tplc="51EC472A">
      <w:start w:val="1"/>
      <w:numFmt w:val="bullet"/>
      <w:lvlText w:val=""/>
      <w:lvlJc w:val="left"/>
      <w:pPr>
        <w:ind w:left="2160" w:hanging="360"/>
      </w:pPr>
      <w:rPr>
        <w:rFonts w:ascii="Wingdings" w:hAnsi="Wingdings" w:hint="default"/>
      </w:rPr>
    </w:lvl>
    <w:lvl w:ilvl="3" w:tplc="A1A01962">
      <w:start w:val="1"/>
      <w:numFmt w:val="bullet"/>
      <w:lvlText w:val=""/>
      <w:lvlJc w:val="left"/>
      <w:pPr>
        <w:ind w:left="2880" w:hanging="360"/>
      </w:pPr>
      <w:rPr>
        <w:rFonts w:ascii="Symbol" w:hAnsi="Symbol" w:hint="default"/>
      </w:rPr>
    </w:lvl>
    <w:lvl w:ilvl="4" w:tplc="410AB0D0">
      <w:start w:val="1"/>
      <w:numFmt w:val="bullet"/>
      <w:lvlText w:val="o"/>
      <w:lvlJc w:val="left"/>
      <w:pPr>
        <w:ind w:left="3600" w:hanging="360"/>
      </w:pPr>
      <w:rPr>
        <w:rFonts w:ascii="Courier New" w:hAnsi="Courier New" w:hint="default"/>
      </w:rPr>
    </w:lvl>
    <w:lvl w:ilvl="5" w:tplc="BA0AB74A">
      <w:start w:val="1"/>
      <w:numFmt w:val="bullet"/>
      <w:lvlText w:val=""/>
      <w:lvlJc w:val="left"/>
      <w:pPr>
        <w:ind w:left="4320" w:hanging="360"/>
      </w:pPr>
      <w:rPr>
        <w:rFonts w:ascii="Wingdings" w:hAnsi="Wingdings" w:hint="default"/>
      </w:rPr>
    </w:lvl>
    <w:lvl w:ilvl="6" w:tplc="3F5887A4">
      <w:start w:val="1"/>
      <w:numFmt w:val="bullet"/>
      <w:lvlText w:val=""/>
      <w:lvlJc w:val="left"/>
      <w:pPr>
        <w:ind w:left="5040" w:hanging="360"/>
      </w:pPr>
      <w:rPr>
        <w:rFonts w:ascii="Symbol" w:hAnsi="Symbol" w:hint="default"/>
      </w:rPr>
    </w:lvl>
    <w:lvl w:ilvl="7" w:tplc="1D78E904">
      <w:start w:val="1"/>
      <w:numFmt w:val="bullet"/>
      <w:lvlText w:val="o"/>
      <w:lvlJc w:val="left"/>
      <w:pPr>
        <w:ind w:left="5760" w:hanging="360"/>
      </w:pPr>
      <w:rPr>
        <w:rFonts w:ascii="Courier New" w:hAnsi="Courier New" w:hint="default"/>
      </w:rPr>
    </w:lvl>
    <w:lvl w:ilvl="8" w:tplc="F8B00198">
      <w:start w:val="1"/>
      <w:numFmt w:val="bullet"/>
      <w:lvlText w:val=""/>
      <w:lvlJc w:val="left"/>
      <w:pPr>
        <w:ind w:left="6480" w:hanging="360"/>
      </w:pPr>
      <w:rPr>
        <w:rFonts w:ascii="Wingdings" w:hAnsi="Wingdings" w:hint="default"/>
      </w:rPr>
    </w:lvl>
  </w:abstractNum>
  <w:abstractNum w:abstractNumId="13"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5"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9"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7"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3"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0347706">
    <w:abstractNumId w:val="1"/>
  </w:num>
  <w:num w:numId="2" w16cid:durableId="542639102">
    <w:abstractNumId w:val="12"/>
  </w:num>
  <w:num w:numId="3" w16cid:durableId="68238522">
    <w:abstractNumId w:val="42"/>
  </w:num>
  <w:num w:numId="4" w16cid:durableId="264508447">
    <w:abstractNumId w:val="3"/>
  </w:num>
  <w:num w:numId="5" w16cid:durableId="2087917769">
    <w:abstractNumId w:val="39"/>
  </w:num>
  <w:num w:numId="6" w16cid:durableId="953826790">
    <w:abstractNumId w:val="26"/>
  </w:num>
  <w:num w:numId="7" w16cid:durableId="1844972088">
    <w:abstractNumId w:val="37"/>
  </w:num>
  <w:num w:numId="8" w16cid:durableId="591010524">
    <w:abstractNumId w:val="10"/>
  </w:num>
  <w:num w:numId="9" w16cid:durableId="1544295690">
    <w:abstractNumId w:val="29"/>
  </w:num>
  <w:num w:numId="10" w16cid:durableId="1894347696">
    <w:abstractNumId w:val="40"/>
  </w:num>
  <w:num w:numId="11" w16cid:durableId="65541188">
    <w:abstractNumId w:val="6"/>
  </w:num>
  <w:num w:numId="12" w16cid:durableId="1093010948">
    <w:abstractNumId w:val="41"/>
  </w:num>
  <w:num w:numId="13" w16cid:durableId="1949964368">
    <w:abstractNumId w:val="34"/>
  </w:num>
  <w:num w:numId="14" w16cid:durableId="1583835306">
    <w:abstractNumId w:val="33"/>
  </w:num>
  <w:num w:numId="15" w16cid:durableId="1067998134">
    <w:abstractNumId w:val="43"/>
  </w:num>
  <w:num w:numId="16" w16cid:durableId="606275191">
    <w:abstractNumId w:val="11"/>
  </w:num>
  <w:num w:numId="17" w16cid:durableId="1651519975">
    <w:abstractNumId w:val="32"/>
  </w:num>
  <w:num w:numId="18" w16cid:durableId="1363826985">
    <w:abstractNumId w:val="8"/>
  </w:num>
  <w:num w:numId="19" w16cid:durableId="1184511187">
    <w:abstractNumId w:val="4"/>
  </w:num>
  <w:num w:numId="20" w16cid:durableId="608463993">
    <w:abstractNumId w:val="16"/>
  </w:num>
  <w:num w:numId="21" w16cid:durableId="1429816371">
    <w:abstractNumId w:val="35"/>
  </w:num>
  <w:num w:numId="22" w16cid:durableId="2034304426">
    <w:abstractNumId w:val="30"/>
  </w:num>
  <w:num w:numId="23" w16cid:durableId="1724020286">
    <w:abstractNumId w:val="14"/>
  </w:num>
  <w:num w:numId="24" w16cid:durableId="1690059482">
    <w:abstractNumId w:val="18"/>
  </w:num>
  <w:num w:numId="25" w16cid:durableId="643237576">
    <w:abstractNumId w:val="19"/>
  </w:num>
  <w:num w:numId="26" w16cid:durableId="579218066">
    <w:abstractNumId w:val="17"/>
  </w:num>
  <w:num w:numId="27" w16cid:durableId="1772319356">
    <w:abstractNumId w:val="23"/>
  </w:num>
  <w:num w:numId="28" w16cid:durableId="1498374757">
    <w:abstractNumId w:val="31"/>
  </w:num>
  <w:num w:numId="29" w16cid:durableId="1781366252">
    <w:abstractNumId w:val="22"/>
  </w:num>
  <w:num w:numId="30" w16cid:durableId="516817357">
    <w:abstractNumId w:val="20"/>
  </w:num>
  <w:num w:numId="31" w16cid:durableId="1774783774">
    <w:abstractNumId w:val="13"/>
  </w:num>
  <w:num w:numId="32" w16cid:durableId="2829313">
    <w:abstractNumId w:val="24"/>
  </w:num>
  <w:num w:numId="33" w16cid:durableId="1257783219">
    <w:abstractNumId w:val="0"/>
  </w:num>
  <w:num w:numId="34" w16cid:durableId="2009669061">
    <w:abstractNumId w:val="36"/>
  </w:num>
  <w:num w:numId="35" w16cid:durableId="1366979011">
    <w:abstractNumId w:val="7"/>
  </w:num>
  <w:num w:numId="36" w16cid:durableId="898978125">
    <w:abstractNumId w:val="27"/>
  </w:num>
  <w:num w:numId="37" w16cid:durableId="1399282836">
    <w:abstractNumId w:val="25"/>
  </w:num>
  <w:num w:numId="38" w16cid:durableId="1408727443">
    <w:abstractNumId w:val="38"/>
  </w:num>
  <w:num w:numId="39" w16cid:durableId="2109811043">
    <w:abstractNumId w:val="15"/>
  </w:num>
  <w:num w:numId="40" w16cid:durableId="977495010">
    <w:abstractNumId w:val="9"/>
  </w:num>
  <w:num w:numId="41" w16cid:durableId="1550651809">
    <w:abstractNumId w:val="21"/>
  </w:num>
  <w:num w:numId="42" w16cid:durableId="768237739">
    <w:abstractNumId w:val="2"/>
  </w:num>
  <w:num w:numId="43" w16cid:durableId="1116756433">
    <w:abstractNumId w:val="28"/>
  </w:num>
  <w:num w:numId="44" w16cid:durableId="19712059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rson w15:author="Pieter DeHaan">
    <w15:presenceInfo w15:providerId="AD" w15:userId="S::pdehaan@peralta.edu::990366af-1927-4ecf-81b4-b40b490391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18EC0"/>
    <w:rsid w:val="00021A91"/>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3833"/>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05F1"/>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17083"/>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3CBC1"/>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3706E"/>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656A"/>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562E5"/>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0CDB"/>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056E"/>
    <w:rsid w:val="00D117C4"/>
    <w:rsid w:val="00D13015"/>
    <w:rsid w:val="00D13C0F"/>
    <w:rsid w:val="00D255DA"/>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3A8C86"/>
    <w:rsid w:val="014B6F4B"/>
    <w:rsid w:val="018BDEAB"/>
    <w:rsid w:val="018F86A6"/>
    <w:rsid w:val="01AA50E6"/>
    <w:rsid w:val="01B1AFB9"/>
    <w:rsid w:val="01EC6312"/>
    <w:rsid w:val="01EFB696"/>
    <w:rsid w:val="01FF8A64"/>
    <w:rsid w:val="022598A5"/>
    <w:rsid w:val="023A4299"/>
    <w:rsid w:val="02561769"/>
    <w:rsid w:val="02A7ECEA"/>
    <w:rsid w:val="02A9B536"/>
    <w:rsid w:val="02B6A194"/>
    <w:rsid w:val="02F8E33C"/>
    <w:rsid w:val="03005E85"/>
    <w:rsid w:val="0366D5E7"/>
    <w:rsid w:val="03811B27"/>
    <w:rsid w:val="038908AD"/>
    <w:rsid w:val="0395C8F8"/>
    <w:rsid w:val="039C3CB4"/>
    <w:rsid w:val="039ED9B4"/>
    <w:rsid w:val="03B968BC"/>
    <w:rsid w:val="03D485F9"/>
    <w:rsid w:val="046DF9E2"/>
    <w:rsid w:val="0496DB2C"/>
    <w:rsid w:val="04BAE6FA"/>
    <w:rsid w:val="04EDE0B9"/>
    <w:rsid w:val="04FBD012"/>
    <w:rsid w:val="050155D0"/>
    <w:rsid w:val="0505E85E"/>
    <w:rsid w:val="05155CAA"/>
    <w:rsid w:val="0532F82E"/>
    <w:rsid w:val="053613E5"/>
    <w:rsid w:val="0565C060"/>
    <w:rsid w:val="056D5E8B"/>
    <w:rsid w:val="058C125D"/>
    <w:rsid w:val="059018D1"/>
    <w:rsid w:val="05B16BFF"/>
    <w:rsid w:val="05D7F324"/>
    <w:rsid w:val="062CECEF"/>
    <w:rsid w:val="06356308"/>
    <w:rsid w:val="067E8A0D"/>
    <w:rsid w:val="0684B6D1"/>
    <w:rsid w:val="06BFAABB"/>
    <w:rsid w:val="06C90059"/>
    <w:rsid w:val="06CD452F"/>
    <w:rsid w:val="06EA264E"/>
    <w:rsid w:val="06EA5EA7"/>
    <w:rsid w:val="073A9376"/>
    <w:rsid w:val="077B5E0D"/>
    <w:rsid w:val="079DA0C3"/>
    <w:rsid w:val="083C2D9F"/>
    <w:rsid w:val="0892E42E"/>
    <w:rsid w:val="08974C6D"/>
    <w:rsid w:val="08A16AE1"/>
    <w:rsid w:val="08D2C364"/>
    <w:rsid w:val="08E017E2"/>
    <w:rsid w:val="09E51045"/>
    <w:rsid w:val="0A0A76C4"/>
    <w:rsid w:val="0A17822D"/>
    <w:rsid w:val="0A310537"/>
    <w:rsid w:val="0A331CCE"/>
    <w:rsid w:val="0A384D1B"/>
    <w:rsid w:val="0A3B20A9"/>
    <w:rsid w:val="0AB341C8"/>
    <w:rsid w:val="0B29AC0F"/>
    <w:rsid w:val="0B7D707F"/>
    <w:rsid w:val="0B87D5E1"/>
    <w:rsid w:val="0B98DF96"/>
    <w:rsid w:val="0BA90975"/>
    <w:rsid w:val="0BED6CB2"/>
    <w:rsid w:val="0C0CE947"/>
    <w:rsid w:val="0C16818F"/>
    <w:rsid w:val="0C5D0343"/>
    <w:rsid w:val="0C6A9AB2"/>
    <w:rsid w:val="0C9CDADC"/>
    <w:rsid w:val="0CDBED29"/>
    <w:rsid w:val="0CE7FF4E"/>
    <w:rsid w:val="0CEDCB91"/>
    <w:rsid w:val="0D0211BC"/>
    <w:rsid w:val="0D4E6F46"/>
    <w:rsid w:val="0D4FFA94"/>
    <w:rsid w:val="0D5A3086"/>
    <w:rsid w:val="0D867A98"/>
    <w:rsid w:val="0DC8B56F"/>
    <w:rsid w:val="0E562F7B"/>
    <w:rsid w:val="0E9F590B"/>
    <w:rsid w:val="0EB51141"/>
    <w:rsid w:val="0EF600E7"/>
    <w:rsid w:val="0F5670B4"/>
    <w:rsid w:val="0F76E1FE"/>
    <w:rsid w:val="0F841162"/>
    <w:rsid w:val="0FDA0B4B"/>
    <w:rsid w:val="105451C9"/>
    <w:rsid w:val="106ADE9B"/>
    <w:rsid w:val="108331F5"/>
    <w:rsid w:val="1098AC5D"/>
    <w:rsid w:val="10D2A1BA"/>
    <w:rsid w:val="10E7202C"/>
    <w:rsid w:val="11287DCC"/>
    <w:rsid w:val="11434ED0"/>
    <w:rsid w:val="1199B8D7"/>
    <w:rsid w:val="11DA27D2"/>
    <w:rsid w:val="11F8137F"/>
    <w:rsid w:val="11FA984C"/>
    <w:rsid w:val="1244483E"/>
    <w:rsid w:val="12653FB1"/>
    <w:rsid w:val="12799C56"/>
    <w:rsid w:val="127A7E3F"/>
    <w:rsid w:val="127B4B2B"/>
    <w:rsid w:val="1280A1A9"/>
    <w:rsid w:val="12B3F30A"/>
    <w:rsid w:val="12B9B1A8"/>
    <w:rsid w:val="131F9F19"/>
    <w:rsid w:val="132ABB25"/>
    <w:rsid w:val="13364B9C"/>
    <w:rsid w:val="134225F3"/>
    <w:rsid w:val="136BE244"/>
    <w:rsid w:val="1372CA2E"/>
    <w:rsid w:val="13970D40"/>
    <w:rsid w:val="13A20F40"/>
    <w:rsid w:val="13C2C624"/>
    <w:rsid w:val="140706DC"/>
    <w:rsid w:val="142187EB"/>
    <w:rsid w:val="142668A3"/>
    <w:rsid w:val="145F3C7B"/>
    <w:rsid w:val="1480A044"/>
    <w:rsid w:val="1497A491"/>
    <w:rsid w:val="14B68E7F"/>
    <w:rsid w:val="14F02D24"/>
    <w:rsid w:val="1537AB16"/>
    <w:rsid w:val="15594640"/>
    <w:rsid w:val="157B269B"/>
    <w:rsid w:val="158CF8EA"/>
    <w:rsid w:val="15ABA55A"/>
    <w:rsid w:val="15B657D1"/>
    <w:rsid w:val="15F98332"/>
    <w:rsid w:val="1634342E"/>
    <w:rsid w:val="1668CD1E"/>
    <w:rsid w:val="1674B1DE"/>
    <w:rsid w:val="168640EB"/>
    <w:rsid w:val="1691EFF8"/>
    <w:rsid w:val="16BBFFD9"/>
    <w:rsid w:val="16C1F8F4"/>
    <w:rsid w:val="16D5BA96"/>
    <w:rsid w:val="16D91061"/>
    <w:rsid w:val="16DBAEE8"/>
    <w:rsid w:val="170FD21B"/>
    <w:rsid w:val="1721AD84"/>
    <w:rsid w:val="1724014A"/>
    <w:rsid w:val="1729C1A9"/>
    <w:rsid w:val="17518316"/>
    <w:rsid w:val="1770EF10"/>
    <w:rsid w:val="1778597A"/>
    <w:rsid w:val="17A9E534"/>
    <w:rsid w:val="17BAF214"/>
    <w:rsid w:val="17E8403B"/>
    <w:rsid w:val="180008CE"/>
    <w:rsid w:val="1806CF38"/>
    <w:rsid w:val="18496EE0"/>
    <w:rsid w:val="1852CD74"/>
    <w:rsid w:val="186C1C6D"/>
    <w:rsid w:val="1873FE07"/>
    <w:rsid w:val="1882E90D"/>
    <w:rsid w:val="189A8C6A"/>
    <w:rsid w:val="18C1F1C9"/>
    <w:rsid w:val="191A0850"/>
    <w:rsid w:val="191CA011"/>
    <w:rsid w:val="19720F7F"/>
    <w:rsid w:val="19791B6B"/>
    <w:rsid w:val="19811637"/>
    <w:rsid w:val="198EE322"/>
    <w:rsid w:val="1A014FA4"/>
    <w:rsid w:val="1A0AC70E"/>
    <w:rsid w:val="1A3C2FCE"/>
    <w:rsid w:val="1AE35549"/>
    <w:rsid w:val="1AE9C8FC"/>
    <w:rsid w:val="1B149826"/>
    <w:rsid w:val="1B2DF9A2"/>
    <w:rsid w:val="1B6D70B1"/>
    <w:rsid w:val="1BB1626A"/>
    <w:rsid w:val="1BB3CD3C"/>
    <w:rsid w:val="1BFD32CC"/>
    <w:rsid w:val="1C356E9B"/>
    <w:rsid w:val="1C48CEB6"/>
    <w:rsid w:val="1C59CF94"/>
    <w:rsid w:val="1C989213"/>
    <w:rsid w:val="1CA2C653"/>
    <w:rsid w:val="1CA60E44"/>
    <w:rsid w:val="1D297BE9"/>
    <w:rsid w:val="1D35B4C5"/>
    <w:rsid w:val="1D41EB17"/>
    <w:rsid w:val="1D6063EA"/>
    <w:rsid w:val="1D6AFB06"/>
    <w:rsid w:val="1D88B981"/>
    <w:rsid w:val="1E1DF881"/>
    <w:rsid w:val="1E42396C"/>
    <w:rsid w:val="1E72384A"/>
    <w:rsid w:val="1ECF3026"/>
    <w:rsid w:val="1EED5D33"/>
    <w:rsid w:val="1EF53A4C"/>
    <w:rsid w:val="1EFF0453"/>
    <w:rsid w:val="1F2489E2"/>
    <w:rsid w:val="1F6C3144"/>
    <w:rsid w:val="1F954F63"/>
    <w:rsid w:val="1FD032D5"/>
    <w:rsid w:val="20336653"/>
    <w:rsid w:val="204E3D54"/>
    <w:rsid w:val="20A10D00"/>
    <w:rsid w:val="20C05A43"/>
    <w:rsid w:val="21103B1E"/>
    <w:rsid w:val="2125E9E0"/>
    <w:rsid w:val="214D5BDA"/>
    <w:rsid w:val="223CE679"/>
    <w:rsid w:val="2249ED26"/>
    <w:rsid w:val="22AF651A"/>
    <w:rsid w:val="22E9AB12"/>
    <w:rsid w:val="230931AA"/>
    <w:rsid w:val="23390B87"/>
    <w:rsid w:val="236CE92B"/>
    <w:rsid w:val="2371EBC4"/>
    <w:rsid w:val="2374216E"/>
    <w:rsid w:val="23B55041"/>
    <w:rsid w:val="248FEAD7"/>
    <w:rsid w:val="24A9E7BC"/>
    <w:rsid w:val="24BA0F24"/>
    <w:rsid w:val="24FC7B9C"/>
    <w:rsid w:val="250814A8"/>
    <w:rsid w:val="25173BFE"/>
    <w:rsid w:val="2553AD82"/>
    <w:rsid w:val="255C77A8"/>
    <w:rsid w:val="255ECCBF"/>
    <w:rsid w:val="2584D6DC"/>
    <w:rsid w:val="25C1D8EC"/>
    <w:rsid w:val="260CCA88"/>
    <w:rsid w:val="262BBB38"/>
    <w:rsid w:val="268F8E14"/>
    <w:rsid w:val="26A98C86"/>
    <w:rsid w:val="26C6652E"/>
    <w:rsid w:val="273FE573"/>
    <w:rsid w:val="274CEB8B"/>
    <w:rsid w:val="277C3450"/>
    <w:rsid w:val="27856C37"/>
    <w:rsid w:val="27E044E6"/>
    <w:rsid w:val="281CBB62"/>
    <w:rsid w:val="28753927"/>
    <w:rsid w:val="2878E6FA"/>
    <w:rsid w:val="28C8E08F"/>
    <w:rsid w:val="28E7BAB0"/>
    <w:rsid w:val="29946940"/>
    <w:rsid w:val="29D72E2C"/>
    <w:rsid w:val="2A04E83B"/>
    <w:rsid w:val="2A0C0C91"/>
    <w:rsid w:val="2A5E5DD8"/>
    <w:rsid w:val="2A5F2BE2"/>
    <w:rsid w:val="2A835C94"/>
    <w:rsid w:val="2A8C0A02"/>
    <w:rsid w:val="2A9EE2FB"/>
    <w:rsid w:val="2AC5FA57"/>
    <w:rsid w:val="2AE2A4FF"/>
    <w:rsid w:val="2AE78EE1"/>
    <w:rsid w:val="2AF73ED5"/>
    <w:rsid w:val="2B19A152"/>
    <w:rsid w:val="2B284F33"/>
    <w:rsid w:val="2B691C5D"/>
    <w:rsid w:val="2B6A6C1E"/>
    <w:rsid w:val="2B74E1CF"/>
    <w:rsid w:val="2B774791"/>
    <w:rsid w:val="2BBB01F4"/>
    <w:rsid w:val="2C1A6712"/>
    <w:rsid w:val="2C1DA8E9"/>
    <w:rsid w:val="2C38F82E"/>
    <w:rsid w:val="2C4886FA"/>
    <w:rsid w:val="2C531117"/>
    <w:rsid w:val="2C7D800E"/>
    <w:rsid w:val="2CB5038A"/>
    <w:rsid w:val="2CE2A015"/>
    <w:rsid w:val="2CF06E9F"/>
    <w:rsid w:val="2D56A6A2"/>
    <w:rsid w:val="2DFD87FB"/>
    <w:rsid w:val="2E0C90FD"/>
    <w:rsid w:val="2E0E9F90"/>
    <w:rsid w:val="2E1FC9F3"/>
    <w:rsid w:val="2E771AFC"/>
    <w:rsid w:val="2E899C75"/>
    <w:rsid w:val="2EA0391B"/>
    <w:rsid w:val="2F0365BF"/>
    <w:rsid w:val="2F407174"/>
    <w:rsid w:val="2FA03D43"/>
    <w:rsid w:val="3048077D"/>
    <w:rsid w:val="30569BC9"/>
    <w:rsid w:val="30748C1A"/>
    <w:rsid w:val="309CEEC4"/>
    <w:rsid w:val="30BE72EB"/>
    <w:rsid w:val="30F6BD77"/>
    <w:rsid w:val="30FC0594"/>
    <w:rsid w:val="3102FF55"/>
    <w:rsid w:val="310C6951"/>
    <w:rsid w:val="31576AB5"/>
    <w:rsid w:val="31707E24"/>
    <w:rsid w:val="31DF584F"/>
    <w:rsid w:val="321FC940"/>
    <w:rsid w:val="3221DE24"/>
    <w:rsid w:val="329ECFB6"/>
    <w:rsid w:val="32F115E3"/>
    <w:rsid w:val="32F5396C"/>
    <w:rsid w:val="334223D0"/>
    <w:rsid w:val="3358667C"/>
    <w:rsid w:val="3359926F"/>
    <w:rsid w:val="3370770A"/>
    <w:rsid w:val="339104F0"/>
    <w:rsid w:val="339ED19A"/>
    <w:rsid w:val="33FF61A0"/>
    <w:rsid w:val="344AC6E2"/>
    <w:rsid w:val="3455E545"/>
    <w:rsid w:val="3463B200"/>
    <w:rsid w:val="34667033"/>
    <w:rsid w:val="35019DAA"/>
    <w:rsid w:val="3550F7CE"/>
    <w:rsid w:val="35597EE6"/>
    <w:rsid w:val="355A0418"/>
    <w:rsid w:val="357DF865"/>
    <w:rsid w:val="35840657"/>
    <w:rsid w:val="3589F0AC"/>
    <w:rsid w:val="359DBA8B"/>
    <w:rsid w:val="35F89A8D"/>
    <w:rsid w:val="3600ABF6"/>
    <w:rsid w:val="361A8D73"/>
    <w:rsid w:val="364D5D17"/>
    <w:rsid w:val="36616812"/>
    <w:rsid w:val="36690484"/>
    <w:rsid w:val="36A76D83"/>
    <w:rsid w:val="36B1A864"/>
    <w:rsid w:val="36C79DD6"/>
    <w:rsid w:val="371C7998"/>
    <w:rsid w:val="37674B95"/>
    <w:rsid w:val="377BAAD5"/>
    <w:rsid w:val="37AA4F98"/>
    <w:rsid w:val="37C48706"/>
    <w:rsid w:val="37D20310"/>
    <w:rsid w:val="37EDF803"/>
    <w:rsid w:val="3827F18F"/>
    <w:rsid w:val="383B8436"/>
    <w:rsid w:val="3858A93E"/>
    <w:rsid w:val="38746BD2"/>
    <w:rsid w:val="3874C252"/>
    <w:rsid w:val="38A523DD"/>
    <w:rsid w:val="38BCCB3E"/>
    <w:rsid w:val="38DB9138"/>
    <w:rsid w:val="38FABBA0"/>
    <w:rsid w:val="391B7DBD"/>
    <w:rsid w:val="394C5777"/>
    <w:rsid w:val="398F9273"/>
    <w:rsid w:val="39ABB2DD"/>
    <w:rsid w:val="39BE1C4B"/>
    <w:rsid w:val="39D1E7B7"/>
    <w:rsid w:val="39D836BE"/>
    <w:rsid w:val="39FF3E98"/>
    <w:rsid w:val="3A00E9BB"/>
    <w:rsid w:val="3A619664"/>
    <w:rsid w:val="3ADC57A2"/>
    <w:rsid w:val="3AE9BD35"/>
    <w:rsid w:val="3AEECEB9"/>
    <w:rsid w:val="3B2202AF"/>
    <w:rsid w:val="3B684495"/>
    <w:rsid w:val="3B8DA8C4"/>
    <w:rsid w:val="3B9A833E"/>
    <w:rsid w:val="3BBB642B"/>
    <w:rsid w:val="3BBD8A86"/>
    <w:rsid w:val="3BCE990C"/>
    <w:rsid w:val="3BE7E5AC"/>
    <w:rsid w:val="3C091318"/>
    <w:rsid w:val="3C83DD7C"/>
    <w:rsid w:val="3CB6C441"/>
    <w:rsid w:val="3CD84608"/>
    <w:rsid w:val="3CE4D6C0"/>
    <w:rsid w:val="3CEB0F54"/>
    <w:rsid w:val="3CF9D684"/>
    <w:rsid w:val="3D0B2572"/>
    <w:rsid w:val="3D0C0345"/>
    <w:rsid w:val="3D16D24E"/>
    <w:rsid w:val="3D1B429B"/>
    <w:rsid w:val="3D1C5DEC"/>
    <w:rsid w:val="3D31DCC1"/>
    <w:rsid w:val="3D51D888"/>
    <w:rsid w:val="3D621119"/>
    <w:rsid w:val="3D696FB4"/>
    <w:rsid w:val="3DAA5547"/>
    <w:rsid w:val="3DD8043C"/>
    <w:rsid w:val="3DDA30E1"/>
    <w:rsid w:val="3E148BBF"/>
    <w:rsid w:val="3E3E345A"/>
    <w:rsid w:val="3E4F6F31"/>
    <w:rsid w:val="3E917D51"/>
    <w:rsid w:val="3E99F17C"/>
    <w:rsid w:val="3EB9875E"/>
    <w:rsid w:val="3EB9EE67"/>
    <w:rsid w:val="3ED22400"/>
    <w:rsid w:val="3F0A158C"/>
    <w:rsid w:val="3F0C32A2"/>
    <w:rsid w:val="3F1FC5B1"/>
    <w:rsid w:val="3F349D1B"/>
    <w:rsid w:val="3F85B2B6"/>
    <w:rsid w:val="3FABE51F"/>
    <w:rsid w:val="400F91B8"/>
    <w:rsid w:val="404B0163"/>
    <w:rsid w:val="40669745"/>
    <w:rsid w:val="4074869E"/>
    <w:rsid w:val="4093DDD6"/>
    <w:rsid w:val="40A20A2F"/>
    <w:rsid w:val="40BFC476"/>
    <w:rsid w:val="40DC843B"/>
    <w:rsid w:val="40F020B3"/>
    <w:rsid w:val="40FBCABB"/>
    <w:rsid w:val="410964BE"/>
    <w:rsid w:val="41332E64"/>
    <w:rsid w:val="415851DB"/>
    <w:rsid w:val="417356D2"/>
    <w:rsid w:val="41892D6D"/>
    <w:rsid w:val="4196F6C7"/>
    <w:rsid w:val="41AF314B"/>
    <w:rsid w:val="41EC2587"/>
    <w:rsid w:val="42437CC0"/>
    <w:rsid w:val="424915E3"/>
    <w:rsid w:val="42537FEC"/>
    <w:rsid w:val="427A2549"/>
    <w:rsid w:val="42884F17"/>
    <w:rsid w:val="42887589"/>
    <w:rsid w:val="428BB97D"/>
    <w:rsid w:val="428E9189"/>
    <w:rsid w:val="42E04E17"/>
    <w:rsid w:val="42E06135"/>
    <w:rsid w:val="43055550"/>
    <w:rsid w:val="43606CE8"/>
    <w:rsid w:val="43698780"/>
    <w:rsid w:val="438570C7"/>
    <w:rsid w:val="438CC129"/>
    <w:rsid w:val="43A82AD6"/>
    <w:rsid w:val="43D75752"/>
    <w:rsid w:val="43ED3967"/>
    <w:rsid w:val="4497BDA8"/>
    <w:rsid w:val="44DD6E35"/>
    <w:rsid w:val="44F41B76"/>
    <w:rsid w:val="44F5FE7E"/>
    <w:rsid w:val="454DC231"/>
    <w:rsid w:val="45609855"/>
    <w:rsid w:val="4569AD6A"/>
    <w:rsid w:val="457FC9D7"/>
    <w:rsid w:val="45839315"/>
    <w:rsid w:val="459223B3"/>
    <w:rsid w:val="459DE54D"/>
    <w:rsid w:val="45C032F1"/>
    <w:rsid w:val="45C56954"/>
    <w:rsid w:val="45D804F1"/>
    <w:rsid w:val="45E5A5F2"/>
    <w:rsid w:val="463EDA6F"/>
    <w:rsid w:val="465EDDAF"/>
    <w:rsid w:val="4689C983"/>
    <w:rsid w:val="468E0435"/>
    <w:rsid w:val="46CB6274"/>
    <w:rsid w:val="46F693D9"/>
    <w:rsid w:val="4724DA29"/>
    <w:rsid w:val="473371EA"/>
    <w:rsid w:val="4741594B"/>
    <w:rsid w:val="474D67DA"/>
    <w:rsid w:val="47AEDC3E"/>
    <w:rsid w:val="47BBFB81"/>
    <w:rsid w:val="47FFA10D"/>
    <w:rsid w:val="48037F29"/>
    <w:rsid w:val="48163352"/>
    <w:rsid w:val="482D5B59"/>
    <w:rsid w:val="48810B06"/>
    <w:rsid w:val="48AD1C14"/>
    <w:rsid w:val="48AD345D"/>
    <w:rsid w:val="48E0018E"/>
    <w:rsid w:val="4910CE82"/>
    <w:rsid w:val="4912F4D8"/>
    <w:rsid w:val="491C6429"/>
    <w:rsid w:val="496C0218"/>
    <w:rsid w:val="497FC924"/>
    <w:rsid w:val="49C96FA1"/>
    <w:rsid w:val="49FC3A05"/>
    <w:rsid w:val="4A275CBB"/>
    <w:rsid w:val="4A4F70C4"/>
    <w:rsid w:val="4A811770"/>
    <w:rsid w:val="4AA259D0"/>
    <w:rsid w:val="4AA7EE61"/>
    <w:rsid w:val="4AB827FB"/>
    <w:rsid w:val="4ABD9F4C"/>
    <w:rsid w:val="4AE5B535"/>
    <w:rsid w:val="4AEFFCF8"/>
    <w:rsid w:val="4AFD66B2"/>
    <w:rsid w:val="4B16E756"/>
    <w:rsid w:val="4B319E44"/>
    <w:rsid w:val="4B348F6A"/>
    <w:rsid w:val="4B980A66"/>
    <w:rsid w:val="4C3D881E"/>
    <w:rsid w:val="4C519817"/>
    <w:rsid w:val="4C53EE1E"/>
    <w:rsid w:val="4C9A3C35"/>
    <w:rsid w:val="4CDF52C3"/>
    <w:rsid w:val="4CE2CE4E"/>
    <w:rsid w:val="4D8ADBBC"/>
    <w:rsid w:val="4DC90468"/>
    <w:rsid w:val="4DE49F09"/>
    <w:rsid w:val="4DE5C89D"/>
    <w:rsid w:val="4DEEBD7D"/>
    <w:rsid w:val="4DFF93AD"/>
    <w:rsid w:val="4E150C2F"/>
    <w:rsid w:val="4E2C11AF"/>
    <w:rsid w:val="4E2EED1E"/>
    <w:rsid w:val="4E323AA0"/>
    <w:rsid w:val="4E38C540"/>
    <w:rsid w:val="4E3A5A1A"/>
    <w:rsid w:val="4E50C737"/>
    <w:rsid w:val="4E533A47"/>
    <w:rsid w:val="4E6C4C79"/>
    <w:rsid w:val="4E89F586"/>
    <w:rsid w:val="4E8CB98B"/>
    <w:rsid w:val="4E94EEFC"/>
    <w:rsid w:val="4EED1EDC"/>
    <w:rsid w:val="4EF4FA7B"/>
    <w:rsid w:val="4F1DDF21"/>
    <w:rsid w:val="4F4894AD"/>
    <w:rsid w:val="4F4EE442"/>
    <w:rsid w:val="4F82E982"/>
    <w:rsid w:val="4F8BA5AD"/>
    <w:rsid w:val="4F9B0325"/>
    <w:rsid w:val="4FD72FDF"/>
    <w:rsid w:val="50365DA4"/>
    <w:rsid w:val="50388860"/>
    <w:rsid w:val="505626C7"/>
    <w:rsid w:val="50597374"/>
    <w:rsid w:val="505D07D7"/>
    <w:rsid w:val="50878F38"/>
    <w:rsid w:val="5089B5DA"/>
    <w:rsid w:val="508EAFE5"/>
    <w:rsid w:val="509CF8B0"/>
    <w:rsid w:val="509F4DCC"/>
    <w:rsid w:val="50B82DF9"/>
    <w:rsid w:val="50BD0C06"/>
    <w:rsid w:val="51148516"/>
    <w:rsid w:val="511FA854"/>
    <w:rsid w:val="515B77A4"/>
    <w:rsid w:val="518414FE"/>
    <w:rsid w:val="51867FA0"/>
    <w:rsid w:val="518AA891"/>
    <w:rsid w:val="51AE210E"/>
    <w:rsid w:val="51B41A3E"/>
    <w:rsid w:val="51BD61B3"/>
    <w:rsid w:val="51ED074F"/>
    <w:rsid w:val="51FBDEEE"/>
    <w:rsid w:val="5210C775"/>
    <w:rsid w:val="521B2805"/>
    <w:rsid w:val="52380279"/>
    <w:rsid w:val="5251C6ED"/>
    <w:rsid w:val="525B7629"/>
    <w:rsid w:val="525E4CDF"/>
    <w:rsid w:val="5279F527"/>
    <w:rsid w:val="52A90643"/>
    <w:rsid w:val="52E5A1B2"/>
    <w:rsid w:val="530DCB3D"/>
    <w:rsid w:val="532E98F0"/>
    <w:rsid w:val="535EB8A7"/>
    <w:rsid w:val="543E3004"/>
    <w:rsid w:val="5446F7E4"/>
    <w:rsid w:val="544D5137"/>
    <w:rsid w:val="5455ACD4"/>
    <w:rsid w:val="5483F1F9"/>
    <w:rsid w:val="54948260"/>
    <w:rsid w:val="54B2070A"/>
    <w:rsid w:val="54DB8DFD"/>
    <w:rsid w:val="54F0E51D"/>
    <w:rsid w:val="55177121"/>
    <w:rsid w:val="55322F5E"/>
    <w:rsid w:val="55337FB0"/>
    <w:rsid w:val="556CF2AC"/>
    <w:rsid w:val="559AE0BA"/>
    <w:rsid w:val="55B3CBAE"/>
    <w:rsid w:val="55FE326A"/>
    <w:rsid w:val="56192BC0"/>
    <w:rsid w:val="56608308"/>
    <w:rsid w:val="569D6523"/>
    <w:rsid w:val="56A98B83"/>
    <w:rsid w:val="56AFE02F"/>
    <w:rsid w:val="56C55A30"/>
    <w:rsid w:val="56FD2D81"/>
    <w:rsid w:val="5708C30D"/>
    <w:rsid w:val="5737A18B"/>
    <w:rsid w:val="574463FC"/>
    <w:rsid w:val="574F9C0F"/>
    <w:rsid w:val="5762D73F"/>
    <w:rsid w:val="57BBEE75"/>
    <w:rsid w:val="5820EE67"/>
    <w:rsid w:val="58C01CCA"/>
    <w:rsid w:val="58D5D500"/>
    <w:rsid w:val="58E12B63"/>
    <w:rsid w:val="58E62683"/>
    <w:rsid w:val="594C9141"/>
    <w:rsid w:val="59948C81"/>
    <w:rsid w:val="59BBC5E8"/>
    <w:rsid w:val="59C6446F"/>
    <w:rsid w:val="59D986F7"/>
    <w:rsid w:val="59F9E4DE"/>
    <w:rsid w:val="5A06E599"/>
    <w:rsid w:val="5A3B241E"/>
    <w:rsid w:val="5A507AA7"/>
    <w:rsid w:val="5A7E1700"/>
    <w:rsid w:val="5A873CD1"/>
    <w:rsid w:val="5A939168"/>
    <w:rsid w:val="5ABFBF6B"/>
    <w:rsid w:val="5ADA66DA"/>
    <w:rsid w:val="5B2A900C"/>
    <w:rsid w:val="5B5AFC84"/>
    <w:rsid w:val="5B6E5DA6"/>
    <w:rsid w:val="5BB79224"/>
    <w:rsid w:val="5BBE0965"/>
    <w:rsid w:val="5BC30BD3"/>
    <w:rsid w:val="5C0FE037"/>
    <w:rsid w:val="5C194053"/>
    <w:rsid w:val="5C390685"/>
    <w:rsid w:val="5C3E9C34"/>
    <w:rsid w:val="5C6BEB0F"/>
    <w:rsid w:val="5CB1DF2E"/>
    <w:rsid w:val="5CD04015"/>
    <w:rsid w:val="5CDB0423"/>
    <w:rsid w:val="5CDFC9BB"/>
    <w:rsid w:val="5CF01D31"/>
    <w:rsid w:val="5CF6CCE5"/>
    <w:rsid w:val="5D1F21B3"/>
    <w:rsid w:val="5D348076"/>
    <w:rsid w:val="5D44944F"/>
    <w:rsid w:val="5D58A403"/>
    <w:rsid w:val="5D5EDC34"/>
    <w:rsid w:val="5D64A877"/>
    <w:rsid w:val="5D7F9D88"/>
    <w:rsid w:val="5D8FC4AF"/>
    <w:rsid w:val="5E0EF40F"/>
    <w:rsid w:val="5E3253E6"/>
    <w:rsid w:val="5E6BDE68"/>
    <w:rsid w:val="5E8D5A26"/>
    <w:rsid w:val="5E94C279"/>
    <w:rsid w:val="5ED8A626"/>
    <w:rsid w:val="5EE89AE7"/>
    <w:rsid w:val="5F0A1C6F"/>
    <w:rsid w:val="5F49B086"/>
    <w:rsid w:val="5F5C951F"/>
    <w:rsid w:val="5F603989"/>
    <w:rsid w:val="5FAD3FD5"/>
    <w:rsid w:val="5FB3D884"/>
    <w:rsid w:val="5FCAD582"/>
    <w:rsid w:val="5FCE2447"/>
    <w:rsid w:val="6019870D"/>
    <w:rsid w:val="6038ABDD"/>
    <w:rsid w:val="604BCD21"/>
    <w:rsid w:val="60524228"/>
    <w:rsid w:val="605FC686"/>
    <w:rsid w:val="6071F434"/>
    <w:rsid w:val="60821B4A"/>
    <w:rsid w:val="609AB7C1"/>
    <w:rsid w:val="60B2C74D"/>
    <w:rsid w:val="60F8F165"/>
    <w:rsid w:val="61416B3D"/>
    <w:rsid w:val="615BAE2E"/>
    <w:rsid w:val="61BE91B5"/>
    <w:rsid w:val="61CEFEC0"/>
    <w:rsid w:val="61F360E0"/>
    <w:rsid w:val="61FE6935"/>
    <w:rsid w:val="620E4370"/>
    <w:rsid w:val="624DD6B3"/>
    <w:rsid w:val="626595EB"/>
    <w:rsid w:val="62724288"/>
    <w:rsid w:val="6275E822"/>
    <w:rsid w:val="6276769B"/>
    <w:rsid w:val="62A14E38"/>
    <w:rsid w:val="631C8F2D"/>
    <w:rsid w:val="632B945D"/>
    <w:rsid w:val="63321686"/>
    <w:rsid w:val="633946E4"/>
    <w:rsid w:val="633F2D11"/>
    <w:rsid w:val="63469008"/>
    <w:rsid w:val="6374568D"/>
    <w:rsid w:val="637DB3DF"/>
    <w:rsid w:val="6385A12B"/>
    <w:rsid w:val="63C3C330"/>
    <w:rsid w:val="63D9DD51"/>
    <w:rsid w:val="63E90CA4"/>
    <w:rsid w:val="6402CF71"/>
    <w:rsid w:val="647E85E9"/>
    <w:rsid w:val="648E56C2"/>
    <w:rsid w:val="649D3392"/>
    <w:rsid w:val="64B8A428"/>
    <w:rsid w:val="64BFE413"/>
    <w:rsid w:val="64D274CC"/>
    <w:rsid w:val="651FA2EB"/>
    <w:rsid w:val="65DAFC96"/>
    <w:rsid w:val="65E30620"/>
    <w:rsid w:val="660CE932"/>
    <w:rsid w:val="66616050"/>
    <w:rsid w:val="6678B01F"/>
    <w:rsid w:val="668E3FDF"/>
    <w:rsid w:val="669202D8"/>
    <w:rsid w:val="66A02F1B"/>
    <w:rsid w:val="66C59894"/>
    <w:rsid w:val="66E0E46E"/>
    <w:rsid w:val="66FBC146"/>
    <w:rsid w:val="67725091"/>
    <w:rsid w:val="67A73C08"/>
    <w:rsid w:val="68078A7E"/>
    <w:rsid w:val="680A0FF7"/>
    <w:rsid w:val="681511A0"/>
    <w:rsid w:val="68227C62"/>
    <w:rsid w:val="6823B711"/>
    <w:rsid w:val="682DD339"/>
    <w:rsid w:val="685ED926"/>
    <w:rsid w:val="687CB4CF"/>
    <w:rsid w:val="68A8D046"/>
    <w:rsid w:val="68BFCFC3"/>
    <w:rsid w:val="68D5FEC0"/>
    <w:rsid w:val="68D7553F"/>
    <w:rsid w:val="68D8D8EC"/>
    <w:rsid w:val="69126F0B"/>
    <w:rsid w:val="69155AB4"/>
    <w:rsid w:val="6933BE60"/>
    <w:rsid w:val="693BA546"/>
    <w:rsid w:val="69456300"/>
    <w:rsid w:val="695139A6"/>
    <w:rsid w:val="6965B95C"/>
    <w:rsid w:val="696CC4F2"/>
    <w:rsid w:val="6984BF82"/>
    <w:rsid w:val="69878A30"/>
    <w:rsid w:val="69CB70E6"/>
    <w:rsid w:val="6A25BAFD"/>
    <w:rsid w:val="6A7B4D75"/>
    <w:rsid w:val="6A8E68A0"/>
    <w:rsid w:val="6AA7C131"/>
    <w:rsid w:val="6B727BF3"/>
    <w:rsid w:val="6B802620"/>
    <w:rsid w:val="6B85B8EB"/>
    <w:rsid w:val="6C014B1C"/>
    <w:rsid w:val="6CBBDA95"/>
    <w:rsid w:val="6D2C5DC9"/>
    <w:rsid w:val="6D433274"/>
    <w:rsid w:val="6D437A88"/>
    <w:rsid w:val="6D49316C"/>
    <w:rsid w:val="6DBCEBA3"/>
    <w:rsid w:val="6DCEEB66"/>
    <w:rsid w:val="6DE2C68A"/>
    <w:rsid w:val="6DF4F289"/>
    <w:rsid w:val="6E0C3FD2"/>
    <w:rsid w:val="6E34DECF"/>
    <w:rsid w:val="6E39130C"/>
    <w:rsid w:val="6E86673C"/>
    <w:rsid w:val="6E935604"/>
    <w:rsid w:val="6ECF05A7"/>
    <w:rsid w:val="6EDF4AE9"/>
    <w:rsid w:val="6EF3B916"/>
    <w:rsid w:val="6EFCA089"/>
    <w:rsid w:val="6F21D171"/>
    <w:rsid w:val="6F294C6B"/>
    <w:rsid w:val="6F37A9F2"/>
    <w:rsid w:val="6F58BC04"/>
    <w:rsid w:val="6F64C600"/>
    <w:rsid w:val="6F93C172"/>
    <w:rsid w:val="6FA2E681"/>
    <w:rsid w:val="6FD5A48D"/>
    <w:rsid w:val="6FEE029A"/>
    <w:rsid w:val="7006FB28"/>
    <w:rsid w:val="700A1765"/>
    <w:rsid w:val="705143FB"/>
    <w:rsid w:val="70537A8E"/>
    <w:rsid w:val="707ADD6B"/>
    <w:rsid w:val="707DCAF5"/>
    <w:rsid w:val="709B0BED"/>
    <w:rsid w:val="70AC2568"/>
    <w:rsid w:val="70E593DA"/>
    <w:rsid w:val="7114AD3C"/>
    <w:rsid w:val="712F11AB"/>
    <w:rsid w:val="71374341"/>
    <w:rsid w:val="7167B9AE"/>
    <w:rsid w:val="71C22543"/>
    <w:rsid w:val="71DD31A1"/>
    <w:rsid w:val="71E73CB5"/>
    <w:rsid w:val="71E76BD3"/>
    <w:rsid w:val="721C0213"/>
    <w:rsid w:val="72223E83"/>
    <w:rsid w:val="726B9DF5"/>
    <w:rsid w:val="726BF826"/>
    <w:rsid w:val="7285938C"/>
    <w:rsid w:val="72DFB0F5"/>
    <w:rsid w:val="73230BB7"/>
    <w:rsid w:val="738E140E"/>
    <w:rsid w:val="73955B1C"/>
    <w:rsid w:val="73ABB4B0"/>
    <w:rsid w:val="74436B58"/>
    <w:rsid w:val="74443C56"/>
    <w:rsid w:val="7485691C"/>
    <w:rsid w:val="74DF9D6C"/>
    <w:rsid w:val="750AABB1"/>
    <w:rsid w:val="75100F32"/>
    <w:rsid w:val="751443C7"/>
    <w:rsid w:val="75270866"/>
    <w:rsid w:val="75F56F70"/>
    <w:rsid w:val="75F95A25"/>
    <w:rsid w:val="764DBC5C"/>
    <w:rsid w:val="7661EA4D"/>
    <w:rsid w:val="76EFA792"/>
    <w:rsid w:val="7704EA79"/>
    <w:rsid w:val="771073B0"/>
    <w:rsid w:val="771F63E1"/>
    <w:rsid w:val="774515D2"/>
    <w:rsid w:val="778DDACF"/>
    <w:rsid w:val="77B68DB5"/>
    <w:rsid w:val="77FC9408"/>
    <w:rsid w:val="78451370"/>
    <w:rsid w:val="784BE489"/>
    <w:rsid w:val="78536D36"/>
    <w:rsid w:val="78756ECA"/>
    <w:rsid w:val="7884715F"/>
    <w:rsid w:val="788D84E4"/>
    <w:rsid w:val="78A57075"/>
    <w:rsid w:val="78DC083D"/>
    <w:rsid w:val="795360C4"/>
    <w:rsid w:val="79763F71"/>
    <w:rsid w:val="798847AF"/>
    <w:rsid w:val="79C6FEF4"/>
    <w:rsid w:val="79E7B4EA"/>
    <w:rsid w:val="7A035BB8"/>
    <w:rsid w:val="7A4F765F"/>
    <w:rsid w:val="7A591305"/>
    <w:rsid w:val="7A5D72FA"/>
    <w:rsid w:val="7A875079"/>
    <w:rsid w:val="7A8F6020"/>
    <w:rsid w:val="7A9A87A8"/>
    <w:rsid w:val="7AA343A4"/>
    <w:rsid w:val="7AAF0B23"/>
    <w:rsid w:val="7AD19CAE"/>
    <w:rsid w:val="7AE9BCD8"/>
    <w:rsid w:val="7B44E872"/>
    <w:rsid w:val="7B79D0AD"/>
    <w:rsid w:val="7B8117E6"/>
    <w:rsid w:val="7BA19D6F"/>
    <w:rsid w:val="7BA2CE16"/>
    <w:rsid w:val="7BDD1137"/>
    <w:rsid w:val="7BDD59DA"/>
    <w:rsid w:val="7BEE2477"/>
    <w:rsid w:val="7BF6C520"/>
    <w:rsid w:val="7BFE4689"/>
    <w:rsid w:val="7C608C3B"/>
    <w:rsid w:val="7CBFEA62"/>
    <w:rsid w:val="7CC34EDC"/>
    <w:rsid w:val="7D17514B"/>
    <w:rsid w:val="7D18F1EE"/>
    <w:rsid w:val="7D267343"/>
    <w:rsid w:val="7D3D49FB"/>
    <w:rsid w:val="7D90B3C7"/>
    <w:rsid w:val="7DC9CD38"/>
    <w:rsid w:val="7DCF7249"/>
    <w:rsid w:val="7DF56F92"/>
    <w:rsid w:val="7E29361B"/>
    <w:rsid w:val="7E3E7DE1"/>
    <w:rsid w:val="7E4999F2"/>
    <w:rsid w:val="7E707BBB"/>
    <w:rsid w:val="7E9B84C2"/>
    <w:rsid w:val="7ECA11AB"/>
    <w:rsid w:val="7F38C307"/>
    <w:rsid w:val="7F4A6B0B"/>
    <w:rsid w:val="7F4ACDD8"/>
    <w:rsid w:val="7F913FF3"/>
    <w:rsid w:val="7FA2220D"/>
    <w:rsid w:val="7FE3E171"/>
    <w:rsid w:val="7FE775D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openxmlformats.org/officeDocument/2006/relationships/header" Target="header1.xml"/><Relationship Id="rId21" Type="http://schemas.microsoft.com/office/2016/09/relationships/commentsIds" Target="commentsIds.xm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microsoft.com/office/2011/relationships/commentsExtended" Target="commentsExtended.xml"/><Relationship Id="rId29" Type="http://schemas.openxmlformats.org/officeDocument/2006/relationships/hyperlink" Target="https://www.youtube.com/watch?v=T4wQVq5a71U&amp;feature=youtu.b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www.cccco.edu/-/media/CCCCO-Website/Files/Communications/101920-ccc-vision-onepager-accessible-final.pdf" TargetMode="External"/><Relationship Id="rId37" Type="http://schemas.openxmlformats.org/officeDocument/2006/relationships/hyperlink" Target="https://drive.google.com/file/d/14FnMslW2ebA23iZl8NlAzk_2OjjGeOu8/view?usp=sharing"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hyperlink" Target="https://peralta.curricunet.com/Form/Program/Index/693"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4"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peralta.instructure.com/courses/44552/assignments/syllabu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www.cccco.edu/About-Us/Chancellors-Office/Divisions/College-Finance-and-Facilities-Planning/Student-Centered-Funding-Formula" TargetMode="External"/><Relationship Id="rId38"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32168-937A-4AA1-9DE4-6EDCA965F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4266</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Pieter DeHaan</cp:lastModifiedBy>
  <cp:revision>6</cp:revision>
  <dcterms:created xsi:type="dcterms:W3CDTF">2022-11-26T00:46:00Z</dcterms:created>
  <dcterms:modified xsi:type="dcterms:W3CDTF">2022-11-28T21:12:00Z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