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E01D27"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59CF6303"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Pr>
                <w:rFonts w:ascii="Times" w:hAnsi="Times"/>
              </w:rPr>
              <w:t>Cora Leighton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2926D01"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367767">
              <w:rPr>
                <w:rFonts w:ascii="Times" w:hAnsi="Times"/>
                <w:noProof/>
              </w:rPr>
              <w:t>Women's Studies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2A151CAB"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Pr>
                <w:rFonts w:ascii="Times" w:hAnsi="Times"/>
                <w:noProof/>
              </w:rPr>
              <w:t>10/5/20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E01D27"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7B62A97" w14:textId="77777777" w:rsidR="00367767" w:rsidRPr="00367767" w:rsidRDefault="00E12E9E" w:rsidP="00367767">
            <w:pPr>
              <w:rPr>
                <w:rFonts w:ascii="Times" w:eastAsiaTheme="minorHAnsi" w:hAnsi="Times" w:cstheme="minorBidi"/>
                <w:sz w:val="22"/>
                <w:szCs w:val="22"/>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367767" w:rsidRPr="00367767">
              <w:rPr>
                <w:rFonts w:ascii="Times" w:eastAsiaTheme="minorHAnsi" w:hAnsi="Times" w:cstheme="minorBidi"/>
                <w:sz w:val="22"/>
                <w:szCs w:val="22"/>
              </w:rPr>
              <w:t>This certificate of achievement involves an interdisciplinary approach to Gender Studies combining courses in the liberal arts and social sciences thus offering a grounded general education. The certificate provides a strong academic foundation in the field, whether students are interested in personal, political or professional reasons or intend to transfer to a four-year institution and major or minor in Gender Studies, Women's Studies or LGBTQ Studies as well as any discipline in the liberal arts or social sciences. All courses fulfill requirements for this certificate as well as General Education credit. Individual courses in WS are also all part of one or more of the following degrees: AA in Liberal Arts with an emphasis in Arts and Humanities AA in Liberal Arts with an emphasis in Social Science AA-T in Philosophy IGETC</w:t>
            </w:r>
          </w:p>
          <w:p w14:paraId="2668F0A5" w14:textId="128CBBF3" w:rsidR="00171A77" w:rsidRPr="00171A77" w:rsidRDefault="00171A77" w:rsidP="00171A77">
            <w:pPr>
              <w:pStyle w:val="NoSpacing"/>
              <w:rPr>
                <w:rFonts w:ascii="Times" w:hAnsi="Times"/>
              </w:rPr>
            </w:pP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3A19D4C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Pr>
                <w:rFonts w:ascii="Times" w:hAnsi="Times"/>
                <w:noProof/>
              </w:rPr>
              <w:t>N/A</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78B1CAD9" w14:textId="77777777" w:rsidR="00367767"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Pr>
                <w:rFonts w:ascii="Times" w:hAnsi="Times"/>
                <w:noProof/>
              </w:rPr>
              <w:t>Grace Morrison</w:t>
            </w:r>
          </w:p>
          <w:p w14:paraId="4C2F78A4" w14:textId="26B43E70" w:rsidR="00171A77" w:rsidRPr="00171A77" w:rsidRDefault="00367767" w:rsidP="00171A77">
            <w:pPr>
              <w:pStyle w:val="NoSpacing"/>
              <w:rPr>
                <w:rFonts w:ascii="Times" w:hAnsi="Times"/>
              </w:rPr>
            </w:pPr>
            <w:r>
              <w:rPr>
                <w:rFonts w:ascii="Times" w:hAnsi="Times"/>
                <w:noProof/>
              </w:rPr>
              <w:t>Shawn Doubiago</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1A5F0543" w14:textId="77777777" w:rsidR="00367767" w:rsidRPr="00367767" w:rsidRDefault="00647632" w:rsidP="00367767">
      <w:pPr>
        <w:rPr>
          <w:rFonts w:ascii="Times" w:eastAsiaTheme="minorHAnsi" w:hAnsi="Times" w:cstheme="minorBidi"/>
          <w:noProof/>
          <w:sz w:val="22"/>
          <w:szCs w:val="22"/>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sidRPr="00367767">
        <w:rPr>
          <w:rFonts w:ascii="Times" w:eastAsiaTheme="minorHAnsi" w:hAnsi="Times" w:cstheme="minorBidi"/>
          <w:noProof/>
          <w:sz w:val="22"/>
          <w:szCs w:val="22"/>
        </w:rPr>
        <w:t>Since the Gender Studies certificate is so new, we hope to collaborate with the BCC PIO and others to make the certificate more visible, increase our enrollment and certificate completion rates.</w:t>
      </w:r>
    </w:p>
    <w:p w14:paraId="37905370" w14:textId="3008FC06"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686B31F" w14:textId="77777777" w:rsidR="00367767" w:rsidRDefault="00171A77" w:rsidP="00171A77">
            <w:pPr>
              <w:pStyle w:val="NoSpacing"/>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67767">
              <w:rPr>
                <w:rFonts w:ascii="Times" w:hAnsi="Times"/>
                <w:noProof/>
              </w:rPr>
              <w:t>In Progress</w:t>
            </w:r>
          </w:p>
          <w:p w14:paraId="4E0D0914" w14:textId="77777777" w:rsidR="00367767" w:rsidRPr="00367767" w:rsidRDefault="00367767" w:rsidP="00367767">
            <w:pPr>
              <w:pStyle w:val="NoSpacing"/>
              <w:rPr>
                <w:rFonts w:ascii="Times" w:hAnsi="Times"/>
              </w:rPr>
            </w:pPr>
            <w:r w:rsidRPr="00367767">
              <w:rPr>
                <w:rFonts w:ascii="Times" w:hAnsi="Times"/>
              </w:rPr>
              <w:t>College Goal</w:t>
            </w:r>
          </w:p>
          <w:p w14:paraId="65223122" w14:textId="57C44F56" w:rsidR="00367767" w:rsidRPr="00367767" w:rsidRDefault="00367767" w:rsidP="00367767">
            <w:pPr>
              <w:pStyle w:val="NoSpacing"/>
              <w:rPr>
                <w:rFonts w:ascii="Times" w:hAnsi="Times"/>
              </w:rPr>
            </w:pPr>
            <w:r w:rsidRPr="00367767">
              <w:rPr>
                <w:rFonts w:ascii="Times" w:hAnsi="Times"/>
              </w:rPr>
              <w:t xml:space="preserve">Increase Transfer and Transfer Degrees: Ensure that all of BCC’s programs of study and transfer pathways for degrees prepare students, in a timely manner, for multiple transfer options. </w:t>
            </w:r>
          </w:p>
          <w:p w14:paraId="6BC3E2A1" w14:textId="77777777" w:rsidR="00367767" w:rsidRPr="00367767" w:rsidRDefault="00367767" w:rsidP="00367767">
            <w:pPr>
              <w:pStyle w:val="NoSpacing"/>
              <w:rPr>
                <w:rFonts w:ascii="Times" w:hAnsi="Times"/>
              </w:rPr>
            </w:pPr>
            <w:r w:rsidRPr="00367767">
              <w:rPr>
                <w:rFonts w:ascii="Times" w:hAnsi="Times"/>
              </w:rPr>
              <w:t>District Goal</w:t>
            </w:r>
          </w:p>
          <w:p w14:paraId="54DA2F4D" w14:textId="51557DB4" w:rsidR="00367767" w:rsidRPr="00367767" w:rsidRDefault="00367767" w:rsidP="00367767">
            <w:pPr>
              <w:pStyle w:val="NoSpacing"/>
              <w:rPr>
                <w:rFonts w:ascii="Times" w:hAnsi="Times"/>
              </w:rPr>
            </w:pPr>
            <w:r w:rsidRPr="00367767">
              <w:rPr>
                <w:rFonts w:ascii="Times" w:hAnsi="Times"/>
              </w:rPr>
              <w:t>Build Programs of Distinction</w:t>
            </w:r>
          </w:p>
          <w:p w14:paraId="5433FD66" w14:textId="4FA1354D"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200B6BA" w14:textId="77777777" w:rsidR="00367767" w:rsidRPr="00367767" w:rsidRDefault="00171A77" w:rsidP="00367767">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367767" w:rsidRPr="00367767">
              <w:rPr>
                <w:rFonts w:ascii="Avenir" w:hAnsi="Avenir" w:cs="Segoe UI"/>
                <w:noProof/>
              </w:rPr>
              <w:t>We use smart rooms, including the projectors, computers, and tiered classroom. We use the library and our faculty offices.</w:t>
            </w:r>
          </w:p>
          <w:p w14:paraId="02AF50C3" w14:textId="406EA8F4" w:rsidR="00311E8A" w:rsidRPr="003462B5" w:rsidRDefault="00171A77" w:rsidP="00311E8A">
            <w:pPr>
              <w:rPr>
                <w:rFonts w:ascii="Avenir" w:hAnsi="Avenir" w:cs="Segoe UI"/>
              </w:rPr>
            </w:pP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E01D27"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524E452C"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367767" w:rsidRPr="00367767">
              <w:rPr>
                <w:rFonts w:ascii="Avenir" w:hAnsi="Avenir"/>
                <w:noProof/>
              </w:rPr>
              <w:t>WS has a consisten</w:t>
            </w:r>
            <w:r w:rsidR="00367767">
              <w:rPr>
                <w:rFonts w:ascii="Avenir" w:hAnsi="Avenir"/>
                <w:noProof/>
              </w:rPr>
              <w:t>y</w:t>
            </w:r>
            <w:r w:rsidR="00367767" w:rsidRPr="00367767">
              <w:rPr>
                <w:rFonts w:ascii="Avenir" w:hAnsi="Avenir"/>
                <w:noProof/>
              </w:rPr>
              <w:t>ly higher completion and retention rate than BCC as a whole. Even so, the numbers here are dece</w:t>
            </w:r>
            <w:r w:rsidR="00367767">
              <w:rPr>
                <w:rFonts w:ascii="Avenir" w:hAnsi="Avenir"/>
                <w:noProof/>
              </w:rPr>
              <w:t>i</w:t>
            </w:r>
            <w:r w:rsidR="00367767" w:rsidRPr="00367767">
              <w:rPr>
                <w:rFonts w:ascii="Avenir" w:hAnsi="Avenir"/>
                <w:noProof/>
              </w:rPr>
              <w:t>ving (they would be even higher) because 2 out of the 3 WS courses are cross-listed with other disciplines (50% of students take them as WS, 50% of students take them as HUMAN or as PHIL). This means the retention and completion rate for the actual class is not captured with this data. Given how small the WS data pool is it is not easy to reach major conclusion as to what type of student we are better at serving.</w:t>
            </w: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lastRenderedPageBreak/>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3AD18302"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E01D27">
        <w:rPr>
          <w:rFonts w:ascii="Avenir Medium" w:hAnsi="Avenir Medium"/>
          <w:sz w:val="18"/>
          <w:szCs w:val="18"/>
        </w:rPr>
      </w:r>
      <w:r w:rsidR="00E01D27">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E01D27">
        <w:rPr>
          <w:rFonts w:ascii="Avenir Medium" w:hAnsi="Avenir Medium"/>
          <w:sz w:val="18"/>
          <w:szCs w:val="18"/>
        </w:rPr>
      </w:r>
      <w:r w:rsidR="00E01D27">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E01D27">
        <w:rPr>
          <w:rFonts w:ascii="Avenir Medium" w:hAnsi="Avenir Medium"/>
          <w:sz w:val="18"/>
          <w:szCs w:val="18"/>
        </w:rPr>
      </w:r>
      <w:r w:rsidR="00E01D27">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237260BD"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val="0"/>
            </w:checkBox>
          </w:ffData>
        </w:fldChar>
      </w:r>
      <w:r w:rsidRPr="00F635AA">
        <w:rPr>
          <w:rFonts w:ascii="Avenir Medium" w:hAnsi="Avenir Medium"/>
          <w:sz w:val="18"/>
          <w:szCs w:val="18"/>
        </w:rPr>
        <w:instrText xml:space="preserve"> FORMCHECKBOX </w:instrText>
      </w:r>
      <w:r w:rsidR="00E01D27">
        <w:rPr>
          <w:rFonts w:ascii="Avenir Medium" w:hAnsi="Avenir Medium"/>
          <w:sz w:val="18"/>
          <w:szCs w:val="18"/>
        </w:rPr>
      </w:r>
      <w:r w:rsidR="00E01D27">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A8179FB"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val="0"/>
            </w:checkBox>
          </w:ffData>
        </w:fldChar>
      </w:r>
      <w:r w:rsidRPr="00F635AA">
        <w:rPr>
          <w:rFonts w:ascii="Avenir Medium" w:hAnsi="Avenir Medium"/>
          <w:sz w:val="18"/>
          <w:szCs w:val="18"/>
        </w:rPr>
        <w:instrText xml:space="preserve"> FORMCHECKBOX </w:instrText>
      </w:r>
      <w:r w:rsidR="00E01D27">
        <w:rPr>
          <w:rFonts w:ascii="Avenir Medium" w:hAnsi="Avenir Medium"/>
          <w:sz w:val="18"/>
          <w:szCs w:val="18"/>
        </w:rPr>
      </w:r>
      <w:r w:rsidR="00E01D27">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00CC0F9C"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11599C">
              <w:rPr>
                <w:rFonts w:ascii="Avenir" w:hAnsi="Avenir"/>
                <w:noProof/>
                <w:color w:val="FF0000"/>
              </w:rPr>
              <w:t>WS      WS 35 will be assessed in Spring 2021.</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3BDA0843" w14:textId="77777777" w:rsidR="0011599C" w:rsidRPr="0011599C" w:rsidRDefault="00171A77" w:rsidP="0011599C">
            <w:pPr>
              <w:rPr>
                <w:rFonts w:ascii="Avenir" w:eastAsiaTheme="minorHAnsi" w:hAnsi="Avenir" w:cstheme="minorBidi"/>
                <w:noProof/>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sidRPr="0011599C">
              <w:rPr>
                <w:rFonts w:ascii="Avenir" w:eastAsiaTheme="minorHAnsi" w:hAnsi="Avenir" w:cstheme="minorBidi"/>
                <w:noProof/>
                <w:sz w:val="20"/>
                <w:szCs w:val="20"/>
              </w:rPr>
              <w:t>film streaming services (Kanopy) and JSTOR -- both with the library</w:t>
            </w:r>
          </w:p>
          <w:p w14:paraId="417787DE" w14:textId="367BB733" w:rsidR="00433830" w:rsidRPr="00433830" w:rsidRDefault="00171A77" w:rsidP="00793CEC">
            <w:pPr>
              <w:pStyle w:val="NoSpacing"/>
              <w:rPr>
                <w:rFonts w:ascii="Avenir" w:hAnsi="Avenir"/>
                <w:sz w:val="20"/>
                <w:szCs w:val="20"/>
              </w:rPr>
            </w:pPr>
            <w:r>
              <w:rPr>
                <w:rFonts w:ascii="Avenir" w:hAnsi="Avenir"/>
                <w:sz w:val="20"/>
                <w:szCs w:val="20"/>
              </w:rPr>
              <w:fldChar w:fldCharType="end"/>
            </w:r>
            <w:bookmarkEnd w:id="6"/>
          </w:p>
        </w:tc>
        <w:tc>
          <w:tcPr>
            <w:tcW w:w="2366" w:type="dxa"/>
          </w:tcPr>
          <w:p w14:paraId="21A413E9" w14:textId="62FA25F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Pr>
                <w:rFonts w:ascii="Avenir" w:hAnsi="Avenir"/>
                <w:noProof/>
                <w:sz w:val="20"/>
                <w:szCs w:val="20"/>
              </w:rPr>
              <w:t>Office of Instruction</w:t>
            </w:r>
            <w:r>
              <w:rPr>
                <w:rFonts w:ascii="Avenir" w:hAnsi="Avenir"/>
                <w:sz w:val="20"/>
                <w:szCs w:val="20"/>
              </w:rPr>
              <w:fldChar w:fldCharType="end"/>
            </w:r>
            <w:bookmarkEnd w:id="7"/>
          </w:p>
        </w:tc>
        <w:tc>
          <w:tcPr>
            <w:tcW w:w="2366" w:type="dxa"/>
          </w:tcPr>
          <w:p w14:paraId="2E9C9754" w14:textId="7F3F61F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Pr>
                <w:rFonts w:ascii="Avenir" w:hAnsi="Avenir"/>
                <w:noProof/>
                <w:sz w:val="20"/>
                <w:szCs w:val="20"/>
              </w:rPr>
              <w:t>10000</w:t>
            </w:r>
            <w:r>
              <w:rPr>
                <w:rFonts w:ascii="Avenir" w:hAnsi="Avenir"/>
                <w:sz w:val="20"/>
                <w:szCs w:val="20"/>
              </w:rPr>
              <w:fldChar w:fldCharType="end"/>
            </w:r>
            <w:bookmarkEnd w:id="8"/>
          </w:p>
        </w:tc>
        <w:tc>
          <w:tcPr>
            <w:tcW w:w="2894" w:type="dxa"/>
          </w:tcPr>
          <w:p w14:paraId="48664882" w14:textId="49C4560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Pr>
                <w:rFonts w:ascii="Avenir" w:hAnsi="Avenir"/>
                <w:sz w:val="20"/>
                <w:szCs w:val="20"/>
              </w:rPr>
              <w:t> </w:t>
            </w:r>
            <w:r w:rsidR="0011599C">
              <w:rPr>
                <w:rFonts w:ascii="Avenir" w:hAnsi="Avenir"/>
                <w:sz w:val="20"/>
                <w:szCs w:val="20"/>
              </w:rPr>
              <w:t> </w:t>
            </w:r>
            <w:r w:rsidR="0011599C">
              <w:rPr>
                <w:rFonts w:ascii="Avenir" w:hAnsi="Avenir"/>
                <w:sz w:val="20"/>
                <w:szCs w:val="20"/>
              </w:rPr>
              <w:t> </w:t>
            </w:r>
            <w:r w:rsidR="0011599C">
              <w:rPr>
                <w:rFonts w:ascii="Avenir" w:hAnsi="Avenir"/>
                <w:sz w:val="20"/>
                <w:szCs w:val="20"/>
              </w:rPr>
              <w:t> </w:t>
            </w:r>
            <w:r w:rsidR="0011599C">
              <w:rPr>
                <w:rFonts w:ascii="Avenir" w:hAnsi="Avenir"/>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3605192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sidRPr="0011599C">
              <w:rPr>
                <w:rFonts w:ascii="Avenir" w:hAnsi="Avenir"/>
                <w:noProof/>
                <w:sz w:val="20"/>
                <w:szCs w:val="20"/>
              </w:rPr>
              <w:t>improvement in our projectors and film screening facilities</w:t>
            </w:r>
            <w:r>
              <w:rPr>
                <w:rFonts w:ascii="Avenir" w:hAnsi="Avenir"/>
                <w:sz w:val="20"/>
                <w:szCs w:val="20"/>
              </w:rPr>
              <w:fldChar w:fldCharType="end"/>
            </w:r>
            <w:bookmarkEnd w:id="10"/>
          </w:p>
        </w:tc>
        <w:tc>
          <w:tcPr>
            <w:tcW w:w="2366" w:type="dxa"/>
          </w:tcPr>
          <w:p w14:paraId="0DB8E4AD" w14:textId="0355E09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67B611D"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599C" w:rsidRPr="0011599C">
              <w:rPr>
                <w:rFonts w:ascii="Avenir" w:hAnsi="Avenir"/>
                <w:noProof/>
                <w:sz w:val="20"/>
                <w:szCs w:val="20"/>
              </w:rPr>
              <w:t xml:space="preserve">We continue to need improvements with our </w:t>
            </w:r>
            <w:r w:rsidR="0011599C" w:rsidRPr="0011599C">
              <w:rPr>
                <w:rFonts w:ascii="Avenir" w:hAnsi="Avenir"/>
                <w:noProof/>
                <w:sz w:val="20"/>
                <w:szCs w:val="20"/>
              </w:rPr>
              <w:lastRenderedPageBreak/>
              <w:t>smart classrooms and faculty office improvements overall</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lastRenderedPageBreak/>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367767">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367767">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367767">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3B3C07E0" w:rsidR="001C0579" w:rsidRPr="003462B5" w:rsidRDefault="00171A77" w:rsidP="00367767">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D96E95" w:rsidRPr="00D96E95">
              <w:rPr>
                <w:rFonts w:ascii="Avenir" w:hAnsi="Avenir"/>
                <w:noProof/>
              </w:rPr>
              <w:t>We continue to need improvements with our smart classrooms and faculty office improvements overall</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367767">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367767">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367767">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367767">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367767">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367767">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367767">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367767">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367767">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367767">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367767">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367767">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367767">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367767">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367767">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639733E9"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Ft Instructional Designer</w:t>
            </w:r>
            <w:r>
              <w:rPr>
                <w:rFonts w:ascii="Avenir" w:hAnsi="Avenir" w:cs="Segoe UI"/>
              </w:rPr>
              <w:fldChar w:fldCharType="end"/>
            </w:r>
            <w:bookmarkEnd w:id="41"/>
          </w:p>
        </w:tc>
        <w:tc>
          <w:tcPr>
            <w:tcW w:w="1170" w:type="dxa"/>
          </w:tcPr>
          <w:p w14:paraId="1E7CC617" w14:textId="7FA8D132"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100,000</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5BE21331"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100,000</w:t>
            </w:r>
            <w:r>
              <w:rPr>
                <w:rFonts w:ascii="Avenir" w:hAnsi="Avenir" w:cs="Segoe UI"/>
              </w:rPr>
              <w:fldChar w:fldCharType="end"/>
            </w:r>
            <w:bookmarkEnd w:id="44"/>
          </w:p>
        </w:tc>
        <w:tc>
          <w:tcPr>
            <w:tcW w:w="1687" w:type="dxa"/>
            <w:shd w:val="clear" w:color="auto" w:fill="FFF2CC" w:themeFill="accent4" w:themeFillTint="33"/>
          </w:tcPr>
          <w:p w14:paraId="3B6F5C9B" w14:textId="2D0F1D4F"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1</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350" w:type="dxa"/>
            <w:shd w:val="clear" w:color="auto" w:fill="auto"/>
          </w:tcPr>
          <w:p w14:paraId="193EC35A" w14:textId="0D2ECE25" w:rsidR="00EF012D" w:rsidRPr="00CC3DCA" w:rsidRDefault="00171A77" w:rsidP="00367767">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687" w:type="dxa"/>
            <w:shd w:val="clear" w:color="auto" w:fill="FFF2CC" w:themeFill="accent4" w:themeFillTint="33"/>
          </w:tcPr>
          <w:p w14:paraId="6BFE2F87" w14:textId="161E3EAE" w:rsidR="00EF012D" w:rsidRPr="00CC3DCA" w:rsidRDefault="00171A77" w:rsidP="00367767">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367767">
            <w:pPr>
              <w:rPr>
                <w:rFonts w:ascii="Avenir" w:hAnsi="Avenir" w:cs="Segoe UI"/>
                <w:sz w:val="20"/>
                <w:szCs w:val="20"/>
              </w:rPr>
            </w:pPr>
            <w:r w:rsidRPr="00241D3A">
              <w:rPr>
                <w:rFonts w:ascii="Avenir" w:hAnsi="Avenir" w:cs="Segoe UI"/>
                <w:sz w:val="20"/>
                <w:szCs w:val="20"/>
              </w:rPr>
              <w:lastRenderedPageBreak/>
              <w:t>Personal/Individual PD needed</w:t>
            </w:r>
          </w:p>
        </w:tc>
        <w:tc>
          <w:tcPr>
            <w:tcW w:w="4963" w:type="dxa"/>
            <w:gridSpan w:val="3"/>
            <w:shd w:val="clear" w:color="auto" w:fill="auto"/>
          </w:tcPr>
          <w:p w14:paraId="0CAAE6DF" w14:textId="77777777" w:rsidR="00EF012D" w:rsidRPr="00CC3DCA" w:rsidRDefault="00EF012D" w:rsidP="00367767">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367767">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367767">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367767">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367767">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367767">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367767">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367767">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367767">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367767">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367767">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350" w:type="dxa"/>
            <w:shd w:val="clear" w:color="auto" w:fill="auto"/>
          </w:tcPr>
          <w:p w14:paraId="273E3D04" w14:textId="3E2CCEC9" w:rsidR="00EF012D" w:rsidRPr="00CC3DCA" w:rsidRDefault="00171A77" w:rsidP="00367767">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367767">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367767">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367767">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367767">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367767">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1F399658"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D96E95" w:rsidRPr="00D96E95">
              <w:rPr>
                <w:rFonts w:ascii="Avenir" w:hAnsi="Avenir" w:cs="Segoe UI"/>
                <w:noProof/>
              </w:rPr>
              <w:t>We continue to need improvements with our smart classrooms and faculty office improvements overall</w:t>
            </w:r>
            <w:r>
              <w:rPr>
                <w:rFonts w:ascii="Avenir" w:hAnsi="Avenir" w:cs="Segoe UI"/>
              </w:rPr>
              <w:fldChar w:fldCharType="end"/>
            </w:r>
            <w:bookmarkEnd w:id="64"/>
          </w:p>
        </w:tc>
        <w:tc>
          <w:tcPr>
            <w:tcW w:w="1350" w:type="dxa"/>
          </w:tcPr>
          <w:p w14:paraId="22DB238F" w14:textId="2166FF05" w:rsidR="00EF012D" w:rsidRPr="00CC3DCA" w:rsidRDefault="00171A77" w:rsidP="00367767">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465E38E3" w:rsidR="00EF012D" w:rsidRPr="00CC3DCA" w:rsidRDefault="00171A77" w:rsidP="00367767">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3</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367767">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367767">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367767">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367767">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367767">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367767">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367767">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367767">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367767">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367767">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367767">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367767">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367767">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367767">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367767">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367767">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367767">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367767">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350" w:type="dxa"/>
          </w:tcPr>
          <w:p w14:paraId="75BB6521" w14:textId="3FB73A95" w:rsidR="00EF012D" w:rsidRPr="00CC3DCA" w:rsidRDefault="00171A77" w:rsidP="00367767">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367767">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11B4E449" w:rsidR="00EF012D" w:rsidRPr="00CC3DCA" w:rsidRDefault="00171A77" w:rsidP="00367767">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sidRPr="00EA655D">
              <w:rPr>
                <w:rFonts w:ascii="Avenir" w:hAnsi="Avenir" w:cs="Segoe UI"/>
                <w:noProof/>
              </w:rPr>
              <w:t xml:space="preserve">          film streaming subscriptions (Kanopy and Swank), JSTOR, and other database subscriptions</w:t>
            </w:r>
            <w:r>
              <w:rPr>
                <w:rFonts w:ascii="Avenir" w:hAnsi="Avenir" w:cs="Segoe UI"/>
              </w:rPr>
              <w:fldChar w:fldCharType="end"/>
            </w:r>
            <w:bookmarkEnd w:id="85"/>
          </w:p>
        </w:tc>
        <w:tc>
          <w:tcPr>
            <w:tcW w:w="1350" w:type="dxa"/>
          </w:tcPr>
          <w:p w14:paraId="64BA2A15" w14:textId="686AA5BB" w:rsidR="00EF012D" w:rsidRPr="00CC3DCA" w:rsidRDefault="00171A77" w:rsidP="00367767">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40000</w:t>
            </w:r>
            <w:r>
              <w:rPr>
                <w:rFonts w:ascii="Avenir" w:hAnsi="Avenir" w:cs="Segoe UI"/>
              </w:rPr>
              <w:fldChar w:fldCharType="end"/>
            </w:r>
            <w:bookmarkEnd w:id="86"/>
          </w:p>
        </w:tc>
        <w:tc>
          <w:tcPr>
            <w:tcW w:w="1687" w:type="dxa"/>
            <w:shd w:val="clear" w:color="auto" w:fill="FFF2CC" w:themeFill="accent4" w:themeFillTint="33"/>
          </w:tcPr>
          <w:p w14:paraId="41427B90" w14:textId="0728C2BA" w:rsidR="00EF012D" w:rsidRPr="00CC3DCA" w:rsidRDefault="00171A77" w:rsidP="00367767">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sidR="00EA655D">
              <w:rPr>
                <w:rFonts w:ascii="Avenir" w:hAnsi="Avenir" w:cs="Segoe UI"/>
                <w:noProof/>
              </w:rPr>
              <w:t>2</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367767">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367767">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367767">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367767">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367767">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367767">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5E30" w14:textId="77777777" w:rsidR="00E01D27" w:rsidRDefault="00E01D27" w:rsidP="000A0E4A">
      <w:r>
        <w:separator/>
      </w:r>
    </w:p>
  </w:endnote>
  <w:endnote w:type="continuationSeparator" w:id="0">
    <w:p w14:paraId="20912986" w14:textId="77777777" w:rsidR="00E01D27" w:rsidRDefault="00E01D27"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367767" w:rsidRPr="00241D3A" w:rsidRDefault="00367767"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367767" w:rsidRDefault="0036776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41E0" w14:textId="77777777" w:rsidR="00E01D27" w:rsidRDefault="00E01D27" w:rsidP="000A0E4A">
      <w:r>
        <w:separator/>
      </w:r>
    </w:p>
  </w:footnote>
  <w:footnote w:type="continuationSeparator" w:id="0">
    <w:p w14:paraId="56A573EB" w14:textId="77777777" w:rsidR="00E01D27" w:rsidRDefault="00E01D27"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367767" w:rsidRPr="00F453D2" w:rsidRDefault="00367767"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367767" w:rsidRPr="001C2F46" w:rsidRDefault="00367767"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367767" w:rsidRDefault="0036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1599C"/>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723D7"/>
    <w:rsid w:val="003016DE"/>
    <w:rsid w:val="00311E8A"/>
    <w:rsid w:val="00312A82"/>
    <w:rsid w:val="003462B5"/>
    <w:rsid w:val="00367767"/>
    <w:rsid w:val="00384317"/>
    <w:rsid w:val="003964BB"/>
    <w:rsid w:val="003A41A0"/>
    <w:rsid w:val="003A475B"/>
    <w:rsid w:val="003C7A1D"/>
    <w:rsid w:val="003D7F6A"/>
    <w:rsid w:val="00425484"/>
    <w:rsid w:val="00433830"/>
    <w:rsid w:val="0044190B"/>
    <w:rsid w:val="00475A16"/>
    <w:rsid w:val="00481660"/>
    <w:rsid w:val="004A09B6"/>
    <w:rsid w:val="004A25AB"/>
    <w:rsid w:val="004D5DFE"/>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96E95"/>
    <w:rsid w:val="00DD6192"/>
    <w:rsid w:val="00DE2251"/>
    <w:rsid w:val="00E01D27"/>
    <w:rsid w:val="00E12E9E"/>
    <w:rsid w:val="00E52761"/>
    <w:rsid w:val="00EA655D"/>
    <w:rsid w:val="00EF012D"/>
    <w:rsid w:val="00F051BE"/>
    <w:rsid w:val="00F06071"/>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6</cp:revision>
  <dcterms:created xsi:type="dcterms:W3CDTF">2020-09-28T18:11:00Z</dcterms:created>
  <dcterms:modified xsi:type="dcterms:W3CDTF">2020-10-26T20:23:00Z</dcterms:modified>
</cp:coreProperties>
</file>