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gjdgxs" w:id="0"/>
          <w:bookmarkEnd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Andrea Williams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30j0zll" w:id="1"/>
          <w:bookmarkEnd w:id="1"/>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Career &amp; Transfer Center</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11-5-2020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   The Career and Transfer Center’s mission is to provide equitable and comprehensive transfer and career services to identify and implement strategies and intentional advocacy  to support disproportionally impacted students at Berkeley City College . The Center provides academic/career assessment and exploration via on-line and in person  support and access to transfer information, programs, and guidance to facilitate increased transfer rates and/or career advancement.  </w:t>
            </w:r>
          </w:p>
          <w:p w:rsidR="00000000" w:rsidDel="00000000" w:rsidP="00000000" w:rsidRDefault="00000000" w:rsidRPr="00000000" w14:paraId="000000CA">
            <w:pPr>
              <w:rPr>
                <w:rFonts w:ascii="Avenir" w:cs="Avenir" w:eastAsia="Avenir" w:hAnsi="Avenir"/>
              </w:rPr>
            </w:pPr>
            <w:r w:rsidDel="00000000" w:rsidR="00000000" w:rsidRPr="00000000">
              <w:rPr>
                <w:rtl w:val="0"/>
              </w:rPr>
            </w:r>
          </w:p>
        </w:tc>
      </w:tr>
    </w:tbl>
    <w:p w:rsidR="00000000" w:rsidDel="00000000" w:rsidP="00000000" w:rsidRDefault="00000000" w:rsidRPr="00000000" w14:paraId="000000CB">
      <w:pPr>
        <w:rPr>
          <w:rFonts w:ascii="Avenir" w:cs="Avenir" w:eastAsia="Avenir" w:hAnsi="Avenir"/>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CE">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CF">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Andrea Williams</w:t>
            </w:r>
          </w:p>
          <w:p w:rsidR="00000000" w:rsidDel="00000000" w:rsidP="00000000" w:rsidRDefault="00000000" w:rsidRPr="00000000" w14:paraId="000000D1">
            <w:pPr>
              <w:rPr>
                <w:rFonts w:ascii="Avenir" w:cs="Avenir" w:eastAsia="Avenir" w:hAnsi="Avenir"/>
              </w:rPr>
            </w:pPr>
            <w:r w:rsidDel="00000000" w:rsidR="00000000" w:rsidRPr="00000000">
              <w:rPr>
                <w:rtl w:val="0"/>
              </w:rPr>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3">
            <w:pPr>
              <w:rPr>
                <w:rFonts w:ascii="Avenir" w:cs="Avenir" w:eastAsia="Avenir" w:hAnsi="Avenir"/>
              </w:rPr>
            </w:pPr>
            <w:r w:rsidDel="00000000" w:rsidR="00000000" w:rsidRPr="00000000">
              <w:rPr>
                <w:rtl w:val="0"/>
              </w:rPr>
            </w:r>
          </w:p>
        </w:tc>
      </w:tr>
    </w:tbl>
    <w:p w:rsidR="00000000" w:rsidDel="00000000" w:rsidP="00000000" w:rsidRDefault="00000000" w:rsidRPr="00000000" w14:paraId="000000D4">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 Assess students that utilize the resources offered at the Career and Transfer Center for transfer related activities, guidance, and support.</w:t>
      </w:r>
    </w:p>
    <w:p w:rsidR="00000000" w:rsidDel="00000000" w:rsidP="00000000" w:rsidRDefault="00000000" w:rsidRPr="00000000" w14:paraId="000000D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 Implement the use of the career and academic exploration platform FOCUS II and Interview Stream to assist students meeting with the TC coordinator, Counseling and Instructional Faculty to support students in a holistic approach to increase Student Education Plans, Degree selection, and completion transition to a career and/or transfer to 4 year institutions.</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3 - Work collaboratively with Instructional and Counseling faculty to develop an action plan for the Transfer/Career Center targeting African-American, Latinx and first time college students to incorporate access to transfer resources, guidance to support degree completion and transfer to 4 year institutions.</w:t>
      </w:r>
    </w:p>
    <w:p w:rsidR="00000000" w:rsidDel="00000000" w:rsidP="00000000" w:rsidRDefault="00000000" w:rsidRPr="00000000" w14:paraId="000000D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D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1 - Assess students that utilize the resources offered at the Career and Transfer Center for transfer related activities, guidance, and support</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Status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Completed</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College Goal</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Strengthen Resilience: Strengthen BCC students’ abilities to become self-directed, focused and engaged in the pursuit of transformative, life-long learning experiences that result in personal and academic success.</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District Goal</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Advance Student Access, Equity, and Success</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If Completed, What evidence supports completion of this goal? How did you measure the achievement of this goal?</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amount of students served in the Transfer Center increased by 13% since the previous APU in 2017-2018 (850 students served)  to 2018-2019 ( 1138 students served) and has held steady for 2019-2020 (1128 students served). Due to the Coordinator's medical leave for 3 months in early Fall and the transition to on-lines service it is a positive outcome that the number of student served stayed the same.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sz w:val="22"/>
                <w:szCs w:val="22"/>
                <w:rtl w:val="0"/>
              </w:rPr>
              <w:t xml:space="preserve">amount</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of colleges visiting the college for workshops and the Transfer Fair has increased since the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2017-2018 APU. Starting with 13 college visits met with 336 students, Transfer Fair  attendance of 150 students and 40 colleges to 2019-2020 with 22 Colleges and University visits met with 338 students and Transfer Fair attendance over 453 students for the 2020 Virtual Fair with over 50 colleges and universities.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2.  Implement the use of the career and academic exploration platform FOCUS II and Interview Stream to assist students meeting with the TC coordinator, Counseling and Instructional Faculty to support students in a holistic approach to increase Student Education Plans, Degree selection, and completion transition to a career and/or transfer to 4 year institutions.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Status: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In Progress</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College Goal</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Increase Transfer and Transfer Degrees: Ensure that all of BCC’s programs of study and transfer pathways for degrees prepare students, in a timely manner, for multiple transfer options. </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District Goal</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Engage and Leverage Partners</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If Completed, What evidence supports completion of this goal? How did you measure the achievement of this goal?</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 Academic Counselors have incorporated using Focus II in their counseling courses and SEP appointments. The number of SEP completions went from 578 in 17-18 to 1028 in 18-19 to 1,819.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From 2017-2018 to 2019-2020 441 Associate Degrees were awarded. From 2017/2018 to 2019-2020 the Transfer Rate stayed the same with 441 students being awarded degrees.</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3 - Work collaboratively with Instructional and Counseling faculty to develop an action plan for the Transfer Center targeting African-American, Latinx and first time college students to incorporate access to transfer resources, guidance to support degree completion and transfer to 4 year institutions.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Status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In-Progress</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College Goal</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Raise College Competence: Raise student skills and competencies, and expand their learning experiences, so that they can successfully complete their college program.</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District Goal</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Strengthen Accountability, Innovation and Collaboration</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If Completed, What evidence supports completion of this goal? How did you measure the achievement of this goal?</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The amount of students served in the Transfer Center has increased by 13% since the previous program review. Additionally the Center has significantly increased the number of African American students up tp 20.2%, more than the 15% of their total number of the BCC student population. The center is working on building relationships with Latinx, Chicana, and Hispanic students to support their transfer and career goals as this group consists of 25.9% of the total population and 13.4% were served in the center. Additionally, the Career and Transfer Center has increased the number of DI served served from 2017-2018 to 2019-2020.</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rPr>
                <w:rFonts w:ascii="Avenir" w:cs="Avenir" w:eastAsia="Avenir" w:hAnsi="Avenir"/>
              </w:rPr>
            </w:pPr>
            <w:r w:rsidDel="00000000" w:rsidR="00000000" w:rsidRPr="00000000">
              <w:rPr>
                <w:rtl w:val="0"/>
              </w:rPr>
            </w:r>
          </w:p>
          <w:p w:rsidR="00000000" w:rsidDel="00000000" w:rsidP="00000000" w:rsidRDefault="00000000" w:rsidRPr="00000000" w14:paraId="0000011B">
            <w:pPr>
              <w:rPr>
                <w:rFonts w:ascii="Avenir" w:cs="Avenir" w:eastAsia="Avenir" w:hAnsi="Avenir"/>
              </w:rPr>
            </w:pPr>
            <w:r w:rsidDel="00000000" w:rsidR="00000000" w:rsidRPr="00000000">
              <w:rPr>
                <w:rtl w:val="0"/>
              </w:rPr>
            </w:r>
          </w:p>
          <w:p w:rsidR="00000000" w:rsidDel="00000000" w:rsidP="00000000" w:rsidRDefault="00000000" w:rsidRPr="00000000" w14:paraId="0000011C">
            <w:pPr>
              <w:rPr>
                <w:rFonts w:ascii="Avenir" w:cs="Avenir" w:eastAsia="Avenir" w:hAnsi="Avenir"/>
              </w:rPr>
            </w:pPr>
            <w:r w:rsidDel="00000000" w:rsidR="00000000" w:rsidRPr="00000000">
              <w:rPr>
                <w:rtl w:val="0"/>
              </w:rPr>
            </w:r>
          </w:p>
        </w:tc>
      </w:tr>
    </w:tbl>
    <w:p w:rsidR="00000000" w:rsidDel="00000000" w:rsidP="00000000" w:rsidRDefault="00000000" w:rsidRPr="00000000" w14:paraId="0000011D">
      <w:pPr>
        <w:rPr>
          <w:rFonts w:ascii="Avenir" w:cs="Avenir" w:eastAsia="Avenir" w:hAnsi="Avenir"/>
        </w:rPr>
      </w:pPr>
      <w:r w:rsidDel="00000000" w:rsidR="00000000" w:rsidRPr="00000000">
        <w:rPr>
          <w:rtl w:val="0"/>
        </w:rPr>
      </w:r>
    </w:p>
    <w:p w:rsidR="00000000" w:rsidDel="00000000" w:rsidP="00000000" w:rsidRDefault="00000000" w:rsidRPr="00000000" w14:paraId="0000011E">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3znysh7" w:id="3"/>
          <w:bookmarkEnd w:id="3"/>
          <w:p w:rsidR="00000000" w:rsidDel="00000000" w:rsidP="00000000" w:rsidRDefault="00000000" w:rsidRPr="00000000" w14:paraId="00000120">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121">
            <w:pPr>
              <w:rPr>
                <w:rFonts w:ascii="Avenir" w:cs="Avenir" w:eastAsia="Avenir" w:hAnsi="Avenir"/>
              </w:rPr>
            </w:pPr>
            <w:r w:rsidDel="00000000" w:rsidR="00000000" w:rsidRPr="00000000">
              <w:rPr>
                <w:rFonts w:ascii="Avenir" w:cs="Avenir" w:eastAsia="Avenir" w:hAnsi="Avenir"/>
                <w:rtl w:val="0"/>
              </w:rPr>
              <w:t xml:space="preserve">The Career/Transfer Center is located in a small but stand alone area where students receive in-person assistance or participate in group workshops with transfer and career information, guidance, and direct support. The center has laptop computers students may use in all areas related to the transfer and career process. The Center has hard copy and online resources for employment, internships, career assessment, and transfer research, applications, acceptance review and final steps to transfer.. The Center also hosts workshops sponsored by several public, private, in and out of state educational institutions. The Center also hosts not and for profit companies and organizations seeking student employees and interns, scholarship research and application assistance. There is a designated area where students may engage in a group setting or one on one, to encourage a collaborative transfer/career student community. The center has the ability to offer mobile services and presentation support with a laptop cart and an interactive monitor that may be moved to different areas in the campus to support larger workshops. information sessions, the annual Transfer Fair, Career/Internship Fairs and other events as needed. For recruitment, workshops, and info sessions the BCC Auditorium, Atrium Room 126 and the area in front of the Ambassadors desk is often utilized to provide additional support to the student transfer and career process. As of March 2020 due to the Corona Virus Pandemic all services have transitioned on-line with the utilization of computers, zoom sessions, tele-conferences, and e-mail  communication. The center uses a function called Tawk available on our website to offer real time assistance and answers to questions students or the general community may have. The CTC website posts access to informational sessions for transfer to several colleges and universities, postings for employment and internships, and general information about transfer and career. The center also offers remote support and assistance for those that are struggling with the transition to on-line services with info sessions on how to utilize on-line services.</w:t>
            </w:r>
          </w:p>
          <w:p w:rsidR="00000000" w:rsidDel="00000000" w:rsidP="00000000" w:rsidRDefault="00000000" w:rsidRPr="00000000" w14:paraId="00000122">
            <w:pPr>
              <w:rPr>
                <w:rFonts w:ascii="Avenir" w:cs="Avenir" w:eastAsia="Avenir" w:hAnsi="Avenir"/>
              </w:rPr>
            </w:pPr>
            <w:r w:rsidDel="00000000" w:rsidR="00000000" w:rsidRPr="00000000">
              <w:rPr>
                <w:rtl w:val="0"/>
              </w:rPr>
            </w:r>
          </w:p>
          <w:p w:rsidR="00000000" w:rsidDel="00000000" w:rsidP="00000000" w:rsidRDefault="00000000" w:rsidRPr="00000000" w14:paraId="00000123">
            <w:pPr>
              <w:rPr>
                <w:rFonts w:ascii="Avenir" w:cs="Avenir" w:eastAsia="Avenir" w:hAnsi="Avenir"/>
              </w:rPr>
            </w:pPr>
            <w:r w:rsidDel="00000000" w:rsidR="00000000" w:rsidRPr="00000000">
              <w:rPr>
                <w:rtl w:val="0"/>
              </w:rPr>
            </w:r>
          </w:p>
          <w:p w:rsidR="00000000" w:rsidDel="00000000" w:rsidP="00000000" w:rsidRDefault="00000000" w:rsidRPr="00000000" w14:paraId="00000124">
            <w:pPr>
              <w:rPr>
                <w:rFonts w:ascii="Avenir" w:cs="Avenir" w:eastAsia="Avenir" w:hAnsi="Avenir"/>
              </w:rPr>
            </w:pPr>
            <w:r w:rsidDel="00000000" w:rsidR="00000000" w:rsidRPr="00000000">
              <w:rPr>
                <w:rtl w:val="0"/>
              </w:rPr>
            </w:r>
          </w:p>
        </w:tc>
      </w:tr>
    </w:tb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2et92p0" w:id="4"/>
          <w:bookmarkEnd w:id="4"/>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There has been an increase in the amount of students served in the Center. There are performance gaps in terms of completion and achievement rates for Disproportionately Impacted Students , however DSPS students,  African American and Latino/Chicano groups  saw an increase in their participation and use of the Transfer Center Resources. The visit rate for African American Groups rose </w:t>
            </w:r>
            <w:r w:rsidDel="00000000" w:rsidR="00000000" w:rsidRPr="00000000">
              <w:rPr>
                <w:rFonts w:ascii="Avenir" w:cs="Avenir" w:eastAsia="Avenir" w:hAnsi="Avenir"/>
                <w:sz w:val="22"/>
                <w:szCs w:val="22"/>
                <w:rtl w:val="0"/>
              </w:rPr>
              <w:t xml:space="preserve">from</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15.0% to 20%. The TCIC Coordinator has made a concentrated effort to outreach to DI student co-horts like EOPS, Umoja, Learning Communities, Undocumented student</w:t>
            </w:r>
            <w:r w:rsidDel="00000000" w:rsidR="00000000" w:rsidRPr="00000000">
              <w:rPr>
                <w:rFonts w:ascii="Avenir" w:cs="Avenir" w:eastAsia="Avenir" w:hAnsi="Avenir"/>
                <w:sz w:val="22"/>
                <w:szCs w:val="22"/>
                <w:rtl w:val="0"/>
              </w:rPr>
              <w:t xml:space="preserv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with transfer presentations, and provided culturally responsible and impactful services to ensure that this population has access, guidance and  competent information related to Career and Transfer. There has been a steady increase in application and acceptance of Latinx students applying and being accepted into 4 year institutions and the Career and Transfer Center , however additional workshops and culturally relevant support will be implemented in the next College Application cycle. African American men and women's application and acceptance rates remain 2nd t</w:t>
            </w:r>
            <w:r w:rsidDel="00000000" w:rsidR="00000000" w:rsidRPr="00000000">
              <w:rPr>
                <w:rFonts w:ascii="Avenir" w:cs="Avenir" w:eastAsia="Avenir" w:hAnsi="Avenir"/>
                <w:sz w:val="22"/>
                <w:szCs w:val="22"/>
                <w:rtl w:val="0"/>
              </w:rPr>
              <w:t xml:space="preserve">o</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the lowest among all Peralta students. The Career/Transfer Center Coordinator in collaboration with the Umoja Program, EOPS, Berkeley Scholars, Learning Communities is currently developing culturally competent embedded workshops, support groups, and access to important transfer information to support the increase of application submissions and transfer acceptance rates of African American Students. Further practices will be put in place to support additional DI groups to increase application and acceptance rates to all universities</w:t>
            </w:r>
            <w:r w:rsidDel="00000000" w:rsidR="00000000" w:rsidRPr="00000000">
              <w:rPr>
                <w:rFonts w:ascii="Avenir" w:cs="Avenir" w:eastAsia="Avenir" w:hAnsi="Avenir"/>
                <w:sz w:val="22"/>
                <w:szCs w:val="22"/>
                <w:rtl w:val="0"/>
              </w:rPr>
              <w:t xml:space="preserve"> by Fall of 2021.</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41">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tyjcwt" w:id="5"/>
    <w:bookmarkEnd w:id="5"/>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773" w:hRule="atLeast"/>
        </w:trPr>
        <w:tc>
          <w:tcPr/>
          <w:bookmarkStart w:colFirst="0" w:colLast="0" w:name="bookmark=id.3dy6vkm" w:id="6"/>
          <w:bookmarkEnd w:id="6"/>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TanSLO 1 - The Transfer and Career Center helps me access relevant college information, college res resources, and college services needed for my transfer process. 117 Responses - 92% Strongly AgrAgreed or Agreed with this assessment. SLO #2 -Transfer and Career Center helps me gain useuseful knowledge of the transfer process - 93% Strongly Agreed or Agreed with this assessment. SLOSLO # 3 =Transfer and Career Center helps me gain useful knowledge of my career devdevelopment process. - 76% Strongly Agreed or Agreed.  SLO # 3- Transfer and Career Center hel helped me gain more insight into my decision-making process with a college or university - 87% </w:t>
            </w:r>
            <w:r w:rsidDel="00000000" w:rsidR="00000000" w:rsidRPr="00000000">
              <w:rPr>
                <w:rFonts w:ascii="Avenir" w:cs="Avenir" w:eastAsia="Avenir" w:hAnsi="Avenir"/>
                <w:color w:val="ff0000"/>
                <w:sz w:val="22"/>
                <w:szCs w:val="22"/>
                <w:rtl w:val="0"/>
              </w:rPr>
              <w:t xml:space="preserve">Strongly</w:t>
            </w:r>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Agreed or Agreed. SLO #3-Transfer and Career Center helps me gain insight into my decision-making process with regard to a choice of major - 84% Strongly Agreed or Agreed.</w:t>
            </w:r>
          </w:p>
        </w:tc>
      </w:tr>
    </w:tb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1t3h5sf" w:id="7"/>
          <w:bookmarkEnd w:id="7"/>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Transfer Fair</w:t>
            </w:r>
          </w:p>
        </w:tc>
        <w:tc>
          <w:tcPr/>
          <w:bookmarkStart w:colFirst="0" w:colLast="0" w:name="bookmark=id.4d34og8" w:id="8"/>
          <w:bookmarkEnd w:id="8"/>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SSSP/SEA</w:t>
            </w:r>
          </w:p>
        </w:tc>
        <w:tc>
          <w:tcPr/>
          <w:bookmarkStart w:colFirst="0" w:colLast="0" w:name="bookmark=id.2s8eyo1" w:id="9"/>
          <w:bookmarkEnd w:id="9"/>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2500</w:t>
            </w:r>
          </w:p>
        </w:tc>
        <w:tc>
          <w:tcPr/>
          <w:bookmarkStart w:colFirst="0" w:colLast="0" w:name="bookmark=id.17dp8vu" w:id="10"/>
          <w:bookmarkEnd w:id="10"/>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Successful transfer fair attendance by students and University Reps.</w:t>
            </w:r>
          </w:p>
        </w:tc>
      </w:tr>
      <w:tr>
        <w:tc>
          <w:tcPr/>
          <w:bookmarkStart w:colFirst="0" w:colLast="0" w:name="bookmark=id.3rdcrjn" w:id="11"/>
          <w:bookmarkEnd w:id="11"/>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Student Workers</w:t>
            </w:r>
          </w:p>
        </w:tc>
        <w:tc>
          <w:tcPr/>
          <w:bookmarkStart w:colFirst="0" w:colLast="0" w:name="bookmark=id.26in1rg" w:id="12"/>
          <w:bookmarkEnd w:id="12"/>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SSSP/SEA</w:t>
            </w:r>
          </w:p>
        </w:tc>
        <w:tc>
          <w:tcPr/>
          <w:bookmarkStart w:colFirst="0" w:colLast="0" w:name="bookmark=id.lnxbz9" w:id="13"/>
          <w:bookmarkEnd w:id="13"/>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35,000</w:t>
            </w:r>
          </w:p>
        </w:tc>
        <w:tc>
          <w:tcPr/>
          <w:bookmarkStart w:colFirst="0" w:colLast="0" w:name="bookmark=id.35nkun2" w:id="14"/>
          <w:bookmarkEnd w:id="14"/>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Increased number of students served in Transfer/Career</w:t>
            </w:r>
          </w:p>
        </w:tc>
      </w:tr>
      <w:tr>
        <w:tc>
          <w:tcPr/>
          <w:bookmarkStart w:colFirst="0" w:colLast="0" w:name="bookmark=id.1ksv4uv" w:id="15"/>
          <w:bookmarkEnd w:id="15"/>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Collaborative workshops </w:t>
            </w:r>
          </w:p>
        </w:tc>
        <w:tc>
          <w:tcPr/>
          <w:bookmarkStart w:colFirst="0" w:colLast="0" w:name="bookmark=id.44sinio" w:id="16"/>
          <w:bookmarkEnd w:id="16"/>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SSSP/SEA</w:t>
            </w:r>
          </w:p>
        </w:tc>
        <w:tc>
          <w:tcPr/>
          <w:bookmarkStart w:colFirst="0" w:colLast="0" w:name="bookmark=id.2jxsxqh" w:id="17"/>
          <w:bookmarkEnd w:id="17"/>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2,000</w:t>
            </w:r>
          </w:p>
        </w:tc>
        <w:tc>
          <w:tcPr/>
          <w:bookmarkStart w:colFirst="0" w:colLast="0" w:name="bookmark=id.z337ya" w:id="18"/>
          <w:bookmarkEnd w:id="18"/>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Increased number of university reps and students attending workshops</w:t>
            </w:r>
          </w:p>
        </w:tc>
      </w:tr>
    </w:tb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66">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68">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j2qqm3" w:id="19"/>
          <w:bookmarkEnd w:id="19"/>
          <w:p w:rsidR="00000000" w:rsidDel="00000000" w:rsidP="00000000" w:rsidRDefault="00000000" w:rsidRPr="00000000" w14:paraId="00000169">
            <w:pPr>
              <w:rPr>
                <w:rFonts w:ascii="Avenir" w:cs="Avenir" w:eastAsia="Avenir" w:hAnsi="Avenir"/>
                <w:highlight w:val="yellow"/>
              </w:rPr>
            </w:pPr>
            <w:r w:rsidDel="00000000" w:rsidR="00000000" w:rsidRPr="00000000">
              <w:rPr>
                <w:rFonts w:ascii="Avenir" w:cs="Avenir" w:eastAsia="Avenir" w:hAnsi="Avenir"/>
                <w:rtl w:val="0"/>
              </w:rPr>
              <w:t xml:space="preserve">Application Submission Increase</w:t>
            </w:r>
            <w:r w:rsidDel="00000000" w:rsidR="00000000" w:rsidRPr="00000000">
              <w:rPr>
                <w:rtl w:val="0"/>
              </w:rPr>
            </w:r>
          </w:p>
        </w:tc>
      </w:tr>
      <w:tr>
        <w:tc>
          <w:tcPr/>
          <w:p w:rsidR="00000000" w:rsidDel="00000000" w:rsidP="00000000" w:rsidRDefault="00000000" w:rsidRPr="00000000" w14:paraId="0000016A">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1y810tw" w:id="20"/>
          <w:bookmarkEnd w:id="20"/>
          <w:p w:rsidR="00000000" w:rsidDel="00000000" w:rsidP="00000000" w:rsidRDefault="00000000" w:rsidRPr="00000000" w14:paraId="0000016B">
            <w:pPr>
              <w:rPr>
                <w:rFonts w:ascii="Avenir" w:cs="Avenir" w:eastAsia="Avenir" w:hAnsi="Avenir"/>
                <w:highlight w:val="yellow"/>
              </w:rPr>
            </w:pPr>
            <w:r w:rsidDel="00000000" w:rsidR="00000000" w:rsidRPr="00000000">
              <w:rPr>
                <w:rFonts w:ascii="Avenir" w:cs="Avenir" w:eastAsia="Avenir" w:hAnsi="Avenir"/>
                <w:rtl w:val="0"/>
              </w:rPr>
              <w:t xml:space="preserve">Increase application submission for DI Groups for 2021 Application Cycle  </w:t>
            </w:r>
            <w:r w:rsidDel="00000000" w:rsidR="00000000" w:rsidRPr="00000000">
              <w:rPr>
                <w:rtl w:val="0"/>
              </w:rPr>
            </w:r>
          </w:p>
        </w:tc>
      </w:tr>
      <w:tr>
        <w:tc>
          <w:tcPr/>
          <w:p w:rsidR="00000000" w:rsidDel="00000000" w:rsidP="00000000" w:rsidRDefault="00000000" w:rsidRPr="00000000" w14:paraId="0000016C">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4i7ojhp" w:id="21"/>
          <w:bookmarkEnd w:id="21"/>
          <w:p w:rsidR="00000000" w:rsidDel="00000000" w:rsidP="00000000" w:rsidRDefault="00000000" w:rsidRPr="00000000" w14:paraId="0000016D">
            <w:pPr>
              <w:rPr>
                <w:rFonts w:ascii="Avenir" w:cs="Avenir" w:eastAsia="Avenir" w:hAnsi="Avenir"/>
                <w:highlight w:val="yellow"/>
              </w:rPr>
            </w:pPr>
            <w:r w:rsidDel="00000000" w:rsidR="00000000" w:rsidRPr="00000000">
              <w:rPr>
                <w:rFonts w:ascii="Avenir" w:cs="Avenir" w:eastAsia="Avenir" w:hAnsi="Avenir"/>
                <w:rtl w:val="0"/>
              </w:rPr>
              <w:t xml:space="preserve">11/30/2021</w:t>
            </w:r>
            <w:r w:rsidDel="00000000" w:rsidR="00000000" w:rsidRPr="00000000">
              <w:rPr>
                <w:rtl w:val="0"/>
              </w:rPr>
            </w:r>
          </w:p>
        </w:tc>
      </w:tr>
      <w:tr>
        <w:tc>
          <w:tcPr/>
          <w:p w:rsidR="00000000" w:rsidDel="00000000" w:rsidP="00000000" w:rsidRDefault="00000000" w:rsidRPr="00000000" w14:paraId="0000016E">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2xcytpi" w:id="22"/>
          <w:bookmarkEnd w:id="22"/>
          <w:p w:rsidR="00000000" w:rsidDel="00000000" w:rsidP="00000000" w:rsidRDefault="00000000" w:rsidRPr="00000000" w14:paraId="0000016F">
            <w:pPr>
              <w:rPr>
                <w:rFonts w:ascii="Avenir" w:cs="Avenir" w:eastAsia="Avenir" w:hAnsi="Avenir"/>
                <w:highlight w:val="yellow"/>
              </w:rPr>
            </w:pPr>
            <w:r w:rsidDel="00000000" w:rsidR="00000000" w:rsidRPr="00000000">
              <w:rPr>
                <w:rFonts w:ascii="Avenir" w:cs="Avenir" w:eastAsia="Avenir" w:hAnsi="Avenir"/>
                <w:rtl w:val="0"/>
              </w:rPr>
              <w:t xml:space="preserve">Career Transfer Center and Counseling and co-hort student programs</w:t>
            </w:r>
            <w:r w:rsidDel="00000000" w:rsidR="00000000" w:rsidRPr="00000000">
              <w:rPr>
                <w:rtl w:val="0"/>
              </w:rPr>
            </w:r>
          </w:p>
        </w:tc>
      </w:tr>
    </w:tbl>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71">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ci93xb" w:id="23"/>
          <w:bookmarkEnd w:id="23"/>
          <w:p w:rsidR="00000000" w:rsidDel="00000000" w:rsidP="00000000" w:rsidRDefault="00000000" w:rsidRPr="00000000" w14:paraId="00000174">
            <w:pPr>
              <w:rPr>
                <w:rFonts w:ascii="Avenir" w:cs="Avenir" w:eastAsia="Avenir" w:hAnsi="Avenir"/>
                <w:highlight w:val="yellow"/>
              </w:rPr>
            </w:pPr>
            <w:r w:rsidDel="00000000" w:rsidR="00000000" w:rsidRPr="00000000">
              <w:rPr>
                <w:rFonts w:ascii="Avenir" w:cs="Avenir" w:eastAsia="Avenir" w:hAnsi="Avenir"/>
                <w:rtl w:val="0"/>
              </w:rPr>
              <w:t xml:space="preserve">African American Application Success</w:t>
            </w:r>
            <w:r w:rsidDel="00000000" w:rsidR="00000000" w:rsidRPr="00000000">
              <w:rPr>
                <w:rtl w:val="0"/>
              </w:rPr>
            </w:r>
          </w:p>
        </w:tc>
      </w:tr>
      <w:tr>
        <w:tc>
          <w:tcPr/>
          <w:p w:rsidR="00000000" w:rsidDel="00000000" w:rsidP="00000000" w:rsidRDefault="00000000" w:rsidRPr="00000000" w14:paraId="00000175">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3whwml4" w:id="24"/>
          <w:bookmarkEnd w:id="24"/>
          <w:p w:rsidR="00000000" w:rsidDel="00000000" w:rsidP="00000000" w:rsidRDefault="00000000" w:rsidRPr="00000000" w14:paraId="00000176">
            <w:pPr>
              <w:rPr>
                <w:rFonts w:ascii="Avenir" w:cs="Avenir" w:eastAsia="Avenir" w:hAnsi="Avenir"/>
                <w:highlight w:val="yellow"/>
              </w:rPr>
            </w:pPr>
            <w:r w:rsidDel="00000000" w:rsidR="00000000" w:rsidRPr="00000000">
              <w:rPr>
                <w:rFonts w:ascii="Avenir" w:cs="Avenir" w:eastAsia="Avenir" w:hAnsi="Avenir"/>
                <w:rtl w:val="0"/>
              </w:rPr>
              <w:t xml:space="preserve">Increase number of African-American students applying and being accepted into 4 year institutions.</w:t>
            </w:r>
            <w:r w:rsidDel="00000000" w:rsidR="00000000" w:rsidRPr="00000000">
              <w:rPr>
                <w:rtl w:val="0"/>
              </w:rPr>
            </w:r>
          </w:p>
        </w:tc>
      </w:tr>
      <w:tr>
        <w:tc>
          <w:tcPr/>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bn6wsx" w:id="25"/>
          <w:bookmarkEnd w:id="25"/>
          <w:p w:rsidR="00000000" w:rsidDel="00000000" w:rsidP="00000000" w:rsidRDefault="00000000" w:rsidRPr="00000000" w14:paraId="00000178">
            <w:pPr>
              <w:rPr>
                <w:rFonts w:ascii="Avenir" w:cs="Avenir" w:eastAsia="Avenir" w:hAnsi="Avenir"/>
                <w:highlight w:val="yellow"/>
              </w:rPr>
            </w:pPr>
            <w:r w:rsidDel="00000000" w:rsidR="00000000" w:rsidRPr="00000000">
              <w:rPr>
                <w:rFonts w:ascii="Avenir" w:cs="Avenir" w:eastAsia="Avenir" w:hAnsi="Avenir"/>
                <w:highlight w:val="yellow"/>
                <w:rtl w:val="0"/>
              </w:rPr>
              <w:t xml:space="preserve">11/30/2021</w:t>
            </w:r>
          </w:p>
        </w:tc>
      </w:tr>
      <w:tr>
        <w:tc>
          <w:tcPr/>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qsh70q" w:id="26"/>
          <w:bookmarkEnd w:id="26"/>
          <w:p w:rsidR="00000000" w:rsidDel="00000000" w:rsidP="00000000" w:rsidRDefault="00000000" w:rsidRPr="00000000" w14:paraId="0000017A">
            <w:pPr>
              <w:rPr>
                <w:rFonts w:ascii="Avenir" w:cs="Avenir" w:eastAsia="Avenir" w:hAnsi="Avenir"/>
                <w:highlight w:val="yellow"/>
              </w:rPr>
            </w:pPr>
            <w:r w:rsidDel="00000000" w:rsidR="00000000" w:rsidRPr="00000000">
              <w:rPr>
                <w:rFonts w:ascii="Avenir" w:cs="Avenir" w:eastAsia="Avenir" w:hAnsi="Avenir"/>
                <w:rtl w:val="0"/>
              </w:rPr>
              <w:t xml:space="preserve">Career/Transfer Center, Counseling, Umoja, Learning Communities, EOPS, DSPS, and Faculty, </w:t>
            </w:r>
            <w:r w:rsidDel="00000000" w:rsidR="00000000" w:rsidRPr="00000000">
              <w:rPr>
                <w:rtl w:val="0"/>
              </w:rPr>
            </w:r>
          </w:p>
        </w:tc>
      </w:tr>
    </w:tbl>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83">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84">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85">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86">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87">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88">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89">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8A">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8B">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8C">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8D">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8E">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8F">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90">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91">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3as4poj" w:id="27"/>
          <w:bookmarkEnd w:id="27"/>
          <w:p w:rsidR="00000000" w:rsidDel="00000000" w:rsidP="00000000" w:rsidRDefault="00000000" w:rsidRPr="00000000" w14:paraId="00000193">
            <w:pPr>
              <w:rPr>
                <w:rFonts w:ascii="Avenir" w:cs="Avenir" w:eastAsia="Avenir" w:hAnsi="Avenir"/>
              </w:rPr>
            </w:pPr>
            <w:r w:rsidDel="00000000" w:rsidR="00000000" w:rsidRPr="00000000">
              <w:rPr>
                <w:rFonts w:ascii="Avenir" w:cs="Avenir" w:eastAsia="Avenir" w:hAnsi="Avenir"/>
                <w:rtl w:val="0"/>
              </w:rPr>
              <w:t xml:space="preserve">provide admin support to allow Coordinator to focus on developing embedded equity practices to increase transfer rates of specific DI groups.</w:t>
            </w:r>
          </w:p>
        </w:tc>
        <w:tc>
          <w:tcPr/>
          <w:bookmarkStart w:colFirst="0" w:colLast="0" w:name="bookmark=id.1pxezwc" w:id="28"/>
          <w:bookmarkEnd w:id="28"/>
          <w:p w:rsidR="00000000" w:rsidDel="00000000" w:rsidP="00000000" w:rsidRDefault="00000000" w:rsidRPr="00000000" w14:paraId="00000194">
            <w:pPr>
              <w:rPr>
                <w:rFonts w:ascii="Avenir" w:cs="Avenir" w:eastAsia="Avenir" w:hAnsi="Avenir"/>
              </w:rPr>
            </w:pPr>
            <w:r w:rsidDel="00000000" w:rsidR="00000000" w:rsidRPr="00000000">
              <w:rPr>
                <w:rFonts w:ascii="Avenir" w:cs="Avenir" w:eastAsia="Avenir" w:hAnsi="Avenir"/>
                <w:rtl w:val="0"/>
              </w:rPr>
              <w:t xml:space="preserve">20,000</w:t>
            </w:r>
          </w:p>
        </w:tc>
        <w:tc>
          <w:tcPr/>
          <w:bookmarkStart w:colFirst="0" w:colLast="0" w:name="bookmark=id.49x2ik5" w:id="29"/>
          <w:bookmarkEnd w:id="29"/>
          <w:p w:rsidR="00000000" w:rsidDel="00000000" w:rsidP="00000000" w:rsidRDefault="00000000" w:rsidRPr="00000000" w14:paraId="00000195">
            <w:pPr>
              <w:rPr>
                <w:rFonts w:ascii="Avenir" w:cs="Avenir" w:eastAsia="Avenir" w:hAnsi="Avenir"/>
              </w:rPr>
            </w:pPr>
            <w:r w:rsidDel="00000000" w:rsidR="00000000" w:rsidRPr="00000000">
              <w:rPr>
                <w:rFonts w:ascii="Avenir" w:cs="Avenir" w:eastAsia="Avenir" w:hAnsi="Avenir"/>
                <w:rtl w:val="0"/>
              </w:rPr>
              <w:t xml:space="preserve">0</w:t>
            </w:r>
          </w:p>
        </w:tc>
        <w:tc>
          <w:tcPr>
            <w:shd w:fill="auto" w:val="clear"/>
          </w:tcPr>
          <w:bookmarkStart w:colFirst="0" w:colLast="0" w:name="bookmark=id.2p2csry" w:id="30"/>
          <w:bookmarkEnd w:id="30"/>
          <w:p w:rsidR="00000000" w:rsidDel="00000000" w:rsidP="00000000" w:rsidRDefault="00000000" w:rsidRPr="00000000" w14:paraId="00000196">
            <w:pPr>
              <w:rPr>
                <w:rFonts w:ascii="Avenir" w:cs="Avenir" w:eastAsia="Avenir" w:hAnsi="Avenir"/>
              </w:rPr>
            </w:pPr>
            <w:r w:rsidDel="00000000" w:rsidR="00000000" w:rsidRPr="00000000">
              <w:rPr>
                <w:rFonts w:ascii="Avenir" w:cs="Avenir" w:eastAsia="Avenir" w:hAnsi="Avenir"/>
                <w:rtl w:val="0"/>
              </w:rPr>
              <w:t xml:space="preserve">20,000</w:t>
            </w:r>
          </w:p>
        </w:tc>
        <w:tc>
          <w:tcPr>
            <w:shd w:fill="fff2cc" w:val="clear"/>
          </w:tcPr>
          <w:bookmarkStart w:colFirst="0" w:colLast="0" w:name="bookmark=id.147n2zr" w:id="31"/>
          <w:bookmarkEnd w:id="31"/>
          <w:p w:rsidR="00000000" w:rsidDel="00000000" w:rsidP="00000000" w:rsidRDefault="00000000" w:rsidRPr="00000000" w14:paraId="00000197">
            <w:pPr>
              <w:rPr>
                <w:rFonts w:ascii="Avenir" w:cs="Avenir" w:eastAsia="Avenir" w:hAnsi="Avenir"/>
              </w:rPr>
            </w:pPr>
            <w:r w:rsidDel="00000000" w:rsidR="00000000" w:rsidRPr="00000000">
              <w:rPr>
                <w:rFonts w:ascii="Avenir" w:cs="Avenir" w:eastAsia="Avenir" w:hAnsi="Avenir"/>
                <w:rtl w:val="0"/>
              </w:rPr>
              <w:t xml:space="preserve">2</w:t>
            </w:r>
          </w:p>
        </w:tc>
      </w:tr>
      <w:tr>
        <w:trPr>
          <w:trHeight w:val="291" w:hRule="atLeast"/>
        </w:trPr>
        <w:tc>
          <w:tcPr>
            <w:shd w:fill="auto" w:val="clear"/>
          </w:tcPr>
          <w:p w:rsidR="00000000" w:rsidDel="00000000" w:rsidP="00000000" w:rsidRDefault="00000000" w:rsidRPr="00000000" w14:paraId="0000019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3o7alnk" w:id="32"/>
          <w:bookmarkEnd w:id="32"/>
          <w:p w:rsidR="00000000" w:rsidDel="00000000" w:rsidP="00000000" w:rsidRDefault="00000000" w:rsidRPr="00000000" w14:paraId="00000199">
            <w:pPr>
              <w:rPr>
                <w:rFonts w:ascii="Avenir" w:cs="Avenir" w:eastAsia="Avenir" w:hAnsi="Avenir"/>
              </w:rPr>
            </w:pPr>
            <w:r w:rsidDel="00000000" w:rsidR="00000000" w:rsidRPr="00000000">
              <w:rPr>
                <w:rFonts w:ascii="Avenir" w:cs="Avenir" w:eastAsia="Avenir" w:hAnsi="Avenir"/>
                <w:rtl w:val="0"/>
              </w:rPr>
              <w:t xml:space="preserve">Student employees provide important mentorship, support and guidance  during the transfer process. Student employees also receive impactful career training, life skills, and opportunities for growth and development to encouage life long learning </w:t>
            </w:r>
          </w:p>
        </w:tc>
        <w:tc>
          <w:tcPr/>
          <w:bookmarkStart w:colFirst="0" w:colLast="0" w:name="bookmark=id.23ckvvd" w:id="33"/>
          <w:bookmarkEnd w:id="33"/>
          <w:p w:rsidR="00000000" w:rsidDel="00000000" w:rsidP="00000000" w:rsidRDefault="00000000" w:rsidRPr="00000000" w14:paraId="0000019A">
            <w:pPr>
              <w:rPr>
                <w:rFonts w:ascii="Avenir" w:cs="Avenir" w:eastAsia="Avenir" w:hAnsi="Avenir"/>
              </w:rPr>
            </w:pPr>
            <w:r w:rsidDel="00000000" w:rsidR="00000000" w:rsidRPr="00000000">
              <w:rPr>
                <w:rFonts w:ascii="Avenir" w:cs="Avenir" w:eastAsia="Avenir" w:hAnsi="Avenir"/>
                <w:rtl w:val="0"/>
              </w:rPr>
              <w:t xml:space="preserve">45,000</w:t>
            </w:r>
          </w:p>
        </w:tc>
        <w:tc>
          <w:tcPr/>
          <w:bookmarkStart w:colFirst="0" w:colLast="0" w:name="bookmark=id.ihv636" w:id="34"/>
          <w:bookmarkEnd w:id="34"/>
          <w:p w:rsidR="00000000" w:rsidDel="00000000" w:rsidP="00000000" w:rsidRDefault="00000000" w:rsidRPr="00000000" w14:paraId="0000019B">
            <w:pPr>
              <w:rPr>
                <w:rFonts w:ascii="Avenir" w:cs="Avenir" w:eastAsia="Avenir" w:hAnsi="Avenir"/>
              </w:rPr>
            </w:pPr>
            <w:r w:rsidDel="00000000" w:rsidR="00000000" w:rsidRPr="00000000">
              <w:rPr>
                <w:rFonts w:ascii="Avenir" w:cs="Avenir" w:eastAsia="Avenir" w:hAnsi="Avenir"/>
                <w:rtl w:val="0"/>
              </w:rPr>
              <w:t xml:space="preserve">0</w:t>
            </w:r>
          </w:p>
        </w:tc>
        <w:tc>
          <w:tcPr>
            <w:shd w:fill="auto" w:val="clear"/>
          </w:tcPr>
          <w:bookmarkStart w:colFirst="0" w:colLast="0" w:name="bookmark=id.32hioqz" w:id="35"/>
          <w:bookmarkEnd w:id="35"/>
          <w:p w:rsidR="00000000" w:rsidDel="00000000" w:rsidP="00000000" w:rsidRDefault="00000000" w:rsidRPr="00000000" w14:paraId="0000019C">
            <w:pPr>
              <w:rPr>
                <w:rFonts w:ascii="Avenir" w:cs="Avenir" w:eastAsia="Avenir" w:hAnsi="Avenir"/>
              </w:rPr>
            </w:pPr>
            <w:r w:rsidDel="00000000" w:rsidR="00000000" w:rsidRPr="00000000">
              <w:rPr>
                <w:rFonts w:ascii="Avenir" w:cs="Avenir" w:eastAsia="Avenir" w:hAnsi="Avenir"/>
                <w:rtl w:val="0"/>
              </w:rPr>
              <w:t xml:space="preserve">45,000</w:t>
            </w:r>
          </w:p>
        </w:tc>
        <w:tc>
          <w:tcPr>
            <w:shd w:fill="fff2cc" w:val="clear"/>
          </w:tcPr>
          <w:bookmarkStart w:colFirst="0" w:colLast="0" w:name="bookmark=id.1hmsyys" w:id="36"/>
          <w:bookmarkEnd w:id="36"/>
          <w:p w:rsidR="00000000" w:rsidDel="00000000" w:rsidP="00000000" w:rsidRDefault="00000000" w:rsidRPr="00000000" w14:paraId="0000019D">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auto" w:val="clear"/>
          </w:tcPr>
          <w:p w:rsidR="00000000" w:rsidDel="00000000" w:rsidP="00000000" w:rsidRDefault="00000000" w:rsidRPr="00000000" w14:paraId="0000019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41mghml" w:id="37"/>
          <w:bookmarkEnd w:id="37"/>
          <w:p w:rsidR="00000000" w:rsidDel="00000000" w:rsidP="00000000" w:rsidRDefault="00000000" w:rsidRPr="00000000" w14:paraId="0000019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grqrue" w:id="38"/>
          <w:bookmarkEnd w:id="38"/>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vx1227" w:id="39"/>
          <w:bookmarkEnd w:id="39"/>
          <w:p w:rsidR="00000000" w:rsidDel="00000000" w:rsidP="00000000" w:rsidRDefault="00000000" w:rsidRPr="00000000" w14:paraId="000001A1">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fwokq0" w:id="40"/>
          <w:bookmarkEnd w:id="40"/>
          <w:p w:rsidR="00000000" w:rsidDel="00000000" w:rsidP="00000000" w:rsidRDefault="00000000" w:rsidRPr="00000000" w14:paraId="000001A2">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v1yuxt" w:id="41"/>
          <w:bookmarkEnd w:id="41"/>
          <w:p w:rsidR="00000000" w:rsidDel="00000000" w:rsidP="00000000" w:rsidRDefault="00000000" w:rsidRPr="00000000" w14:paraId="000001A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4f1mdlm" w:id="42"/>
          <w:bookmarkEnd w:id="42"/>
          <w:p w:rsidR="00000000" w:rsidDel="00000000" w:rsidP="00000000" w:rsidRDefault="00000000" w:rsidRPr="00000000" w14:paraId="000001A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u6wntf" w:id="43"/>
          <w:bookmarkEnd w:id="43"/>
          <w:p w:rsidR="00000000" w:rsidDel="00000000" w:rsidP="00000000" w:rsidRDefault="00000000" w:rsidRPr="00000000" w14:paraId="000001A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9c6y18" w:id="44"/>
          <w:bookmarkEnd w:id="44"/>
          <w:p w:rsidR="00000000" w:rsidDel="00000000" w:rsidP="00000000" w:rsidRDefault="00000000" w:rsidRPr="00000000" w14:paraId="000001A7">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tbugp1" w:id="45"/>
          <w:bookmarkEnd w:id="45"/>
          <w:p w:rsidR="00000000" w:rsidDel="00000000" w:rsidP="00000000" w:rsidRDefault="00000000" w:rsidRPr="00000000" w14:paraId="000001A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8h4qwu" w:id="46"/>
          <w:bookmarkEnd w:id="46"/>
          <w:p w:rsidR="00000000" w:rsidDel="00000000" w:rsidP="00000000" w:rsidRDefault="00000000" w:rsidRPr="00000000" w14:paraId="000001A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A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AB">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AC">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AD">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A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AF">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B0">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nmf14n" w:id="47"/>
          <w:bookmarkEnd w:id="47"/>
          <w:p w:rsidR="00000000" w:rsidDel="00000000" w:rsidP="00000000" w:rsidRDefault="00000000" w:rsidRPr="00000000" w14:paraId="000001B1">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7m2jsg" w:id="48"/>
          <w:bookmarkEnd w:id="48"/>
          <w:p w:rsidR="00000000" w:rsidDel="00000000" w:rsidP="00000000" w:rsidRDefault="00000000" w:rsidRPr="00000000" w14:paraId="000001B4">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mrcu09" w:id="49"/>
          <w:bookmarkEnd w:id="49"/>
          <w:p w:rsidR="00000000" w:rsidDel="00000000" w:rsidP="00000000" w:rsidRDefault="00000000" w:rsidRPr="00000000" w14:paraId="000001B5">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B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B7">
            <w:pPr>
              <w:rPr>
                <w:rFonts w:ascii="Avenir" w:cs="Avenir" w:eastAsia="Avenir" w:hAnsi="Avenir"/>
              </w:rPr>
            </w:pPr>
            <w:r w:rsidDel="00000000" w:rsidR="00000000" w:rsidRPr="00000000">
              <w:rPr>
                <w:rtl w:val="0"/>
              </w:rPr>
            </w:r>
          </w:p>
          <w:bookmarkStart w:colFirst="0" w:colLast="0" w:name="bookmark=id.46r0co2" w:id="50"/>
          <w:bookmarkEnd w:id="50"/>
          <w:p w:rsidR="00000000" w:rsidDel="00000000" w:rsidP="00000000" w:rsidRDefault="00000000" w:rsidRPr="00000000" w14:paraId="000001B8">
            <w:pPr>
              <w:rPr>
                <w:rFonts w:ascii="Avenir" w:cs="Avenir" w:eastAsia="Avenir" w:hAnsi="Avenir"/>
              </w:rPr>
            </w:pPr>
            <w:r w:rsidDel="00000000" w:rsidR="00000000" w:rsidRPr="00000000">
              <w:rPr>
                <w:rFonts w:ascii="Avenir" w:cs="Avenir" w:eastAsia="Avenir" w:hAnsi="Avenir"/>
                <w:rtl w:val="0"/>
              </w:rPr>
              <w:t xml:space="preserve">Training to increase knowledge and implementation of culturally competent, equitable and impactful practices to increase successful transfer to 4 year schools, specifically for students identified in the recent BCC Equity Plan.</w:t>
            </w:r>
          </w:p>
        </w:tc>
        <w:tc>
          <w:tcPr>
            <w:shd w:fill="auto" w:val="clear"/>
          </w:tcPr>
          <w:bookmarkStart w:colFirst="0" w:colLast="0" w:name="bookmark=id.2lwamvv" w:id="51"/>
          <w:bookmarkEnd w:id="51"/>
          <w:p w:rsidR="00000000" w:rsidDel="00000000" w:rsidP="00000000" w:rsidRDefault="00000000" w:rsidRPr="00000000" w14:paraId="000001BB">
            <w:pPr>
              <w:rPr>
                <w:rFonts w:ascii="Avenir" w:cs="Avenir" w:eastAsia="Avenir" w:hAnsi="Avenir"/>
              </w:rPr>
            </w:pPr>
            <w:r w:rsidDel="00000000" w:rsidR="00000000" w:rsidRPr="00000000">
              <w:rPr>
                <w:rFonts w:ascii="Avenir" w:cs="Avenir" w:eastAsia="Avenir" w:hAnsi="Avenir"/>
                <w:rtl w:val="0"/>
              </w:rPr>
              <w:t xml:space="preserve">5,000</w:t>
            </w:r>
          </w:p>
        </w:tc>
        <w:tc>
          <w:tcPr>
            <w:shd w:fill="fff2cc" w:val="clear"/>
          </w:tcPr>
          <w:bookmarkStart w:colFirst="0" w:colLast="0" w:name="bookmark=id.111kx3o" w:id="52"/>
          <w:bookmarkEnd w:id="52"/>
          <w:p w:rsidR="00000000" w:rsidDel="00000000" w:rsidP="00000000" w:rsidRDefault="00000000" w:rsidRPr="00000000" w14:paraId="000001BC">
            <w:pPr>
              <w:rPr>
                <w:rFonts w:ascii="Avenir" w:cs="Avenir" w:eastAsia="Avenir" w:hAnsi="Avenir"/>
              </w:rPr>
            </w:pPr>
            <w:r w:rsidDel="00000000" w:rsidR="00000000" w:rsidRPr="00000000">
              <w:rPr>
                <w:rFonts w:ascii="Avenir" w:cs="Avenir" w:eastAsia="Avenir" w:hAnsi="Avenir"/>
                <w:rtl w:val="0"/>
              </w:rPr>
              <w:t xml:space="preserve">6</w:t>
            </w:r>
          </w:p>
        </w:tc>
      </w:tr>
      <w:tr>
        <w:trPr>
          <w:trHeight w:val="291" w:hRule="atLeast"/>
        </w:trPr>
        <w:tc>
          <w:tcPr>
            <w:shd w:fill="009193" w:val="clear"/>
          </w:tcPr>
          <w:p w:rsidR="00000000" w:rsidDel="00000000" w:rsidP="00000000" w:rsidRDefault="00000000" w:rsidRPr="00000000" w14:paraId="000001B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B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2">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C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3l18frh" w:id="53"/>
          <w:bookmarkEnd w:id="53"/>
          <w:p w:rsidR="00000000" w:rsidDel="00000000" w:rsidP="00000000" w:rsidRDefault="00000000" w:rsidRPr="00000000" w14:paraId="000001C4">
            <w:pPr>
              <w:rPr>
                <w:rFonts w:ascii="Avenir" w:cs="Avenir" w:eastAsia="Avenir" w:hAnsi="Avenir"/>
              </w:rPr>
            </w:pPr>
            <w:r w:rsidDel="00000000" w:rsidR="00000000" w:rsidRPr="00000000">
              <w:rPr>
                <w:rFonts w:ascii="Avenir" w:cs="Avenir" w:eastAsia="Avenir" w:hAnsi="Avenir"/>
                <w:rtl w:val="0"/>
              </w:rPr>
              <w:t xml:space="preserve">Focus II and Interview Stream</w:t>
            </w:r>
          </w:p>
        </w:tc>
        <w:tc>
          <w:tcPr>
            <w:shd w:fill="auto" w:val="clear"/>
          </w:tcPr>
          <w:bookmarkStart w:colFirst="0" w:colLast="0" w:name="bookmark=id.206ipza" w:id="54"/>
          <w:bookmarkEnd w:id="54"/>
          <w:p w:rsidR="00000000" w:rsidDel="00000000" w:rsidP="00000000" w:rsidRDefault="00000000" w:rsidRPr="00000000" w14:paraId="000001C7">
            <w:pPr>
              <w:rPr>
                <w:rFonts w:ascii="Avenir" w:cs="Avenir" w:eastAsia="Avenir" w:hAnsi="Avenir"/>
              </w:rPr>
            </w:pPr>
            <w:r w:rsidDel="00000000" w:rsidR="00000000" w:rsidRPr="00000000">
              <w:rPr>
                <w:rFonts w:ascii="Avenir" w:cs="Avenir" w:eastAsia="Avenir" w:hAnsi="Avenir"/>
                <w:rtl w:val="0"/>
              </w:rPr>
              <w:t xml:space="preserve">6,000</w:t>
            </w:r>
          </w:p>
        </w:tc>
        <w:tc>
          <w:tcPr>
            <w:shd w:fill="fff2cc" w:val="clear"/>
          </w:tcPr>
          <w:bookmarkStart w:colFirst="0" w:colLast="0" w:name="bookmark=id.4k668n3" w:id="55"/>
          <w:bookmarkEnd w:id="55"/>
          <w:p w:rsidR="00000000" w:rsidDel="00000000" w:rsidP="00000000" w:rsidRDefault="00000000" w:rsidRPr="00000000" w14:paraId="000001C8">
            <w:pPr>
              <w:rPr>
                <w:rFonts w:ascii="Avenir" w:cs="Avenir" w:eastAsia="Avenir" w:hAnsi="Avenir"/>
              </w:rPr>
            </w:pPr>
            <w:r w:rsidDel="00000000" w:rsidR="00000000" w:rsidRPr="00000000">
              <w:rPr>
                <w:rFonts w:ascii="Avenir" w:cs="Avenir" w:eastAsia="Avenir" w:hAnsi="Avenir"/>
                <w:rtl w:val="0"/>
              </w:rPr>
              <w:t xml:space="preserve">7</w:t>
            </w:r>
          </w:p>
        </w:tc>
      </w:tr>
      <w:tr>
        <w:trPr>
          <w:trHeight w:val="291" w:hRule="atLeast"/>
        </w:trPr>
        <w:tc>
          <w:tcPr>
            <w:shd w:fill="auto" w:val="clear"/>
          </w:tcPr>
          <w:p w:rsidR="00000000" w:rsidDel="00000000" w:rsidP="00000000" w:rsidRDefault="00000000" w:rsidRPr="00000000" w14:paraId="000001C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2zbgiuw" w:id="56"/>
          <w:bookmarkEnd w:id="56"/>
          <w:p w:rsidR="00000000" w:rsidDel="00000000" w:rsidP="00000000" w:rsidRDefault="00000000" w:rsidRPr="00000000" w14:paraId="000001CA">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egqt2p" w:id="57"/>
          <w:bookmarkEnd w:id="57"/>
          <w:p w:rsidR="00000000" w:rsidDel="00000000" w:rsidP="00000000" w:rsidRDefault="00000000" w:rsidRPr="00000000" w14:paraId="000001C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ygebqi" w:id="58"/>
          <w:bookmarkEnd w:id="58"/>
          <w:p w:rsidR="00000000" w:rsidDel="00000000" w:rsidP="00000000" w:rsidRDefault="00000000" w:rsidRPr="00000000" w14:paraId="000001C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C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2dlolyb" w:id="59"/>
          <w:bookmarkEnd w:id="59"/>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sqyw64" w:id="60"/>
          <w:bookmarkEnd w:id="60"/>
          <w:p w:rsidR="00000000" w:rsidDel="00000000" w:rsidP="00000000" w:rsidRDefault="00000000" w:rsidRPr="00000000" w14:paraId="000001D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cqmetx" w:id="61"/>
          <w:bookmarkEnd w:id="61"/>
          <w:p w:rsidR="00000000" w:rsidDel="00000000" w:rsidP="00000000" w:rsidRDefault="00000000" w:rsidRPr="00000000" w14:paraId="000001D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D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1rvwp1q" w:id="62"/>
          <w:bookmarkEnd w:id="62"/>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Office supplies to operate center</w:t>
            </w:r>
          </w:p>
        </w:tc>
        <w:tc>
          <w:tcPr>
            <w:shd w:fill="auto" w:val="clear"/>
          </w:tcPr>
          <w:bookmarkStart w:colFirst="0" w:colLast="0" w:name="bookmark=id.4bvk7pj" w:id="63"/>
          <w:bookmarkEnd w:id="63"/>
          <w:p w:rsidR="00000000" w:rsidDel="00000000" w:rsidP="00000000" w:rsidRDefault="00000000" w:rsidRPr="00000000" w14:paraId="000001D9">
            <w:pPr>
              <w:rPr>
                <w:rFonts w:ascii="Avenir" w:cs="Avenir" w:eastAsia="Avenir" w:hAnsi="Avenir"/>
              </w:rPr>
            </w:pPr>
            <w:r w:rsidDel="00000000" w:rsidR="00000000" w:rsidRPr="00000000">
              <w:rPr>
                <w:rFonts w:ascii="Avenir" w:cs="Avenir" w:eastAsia="Avenir" w:hAnsi="Avenir"/>
                <w:rtl w:val="0"/>
              </w:rPr>
              <w:t xml:space="preserve">5,000</w:t>
            </w:r>
          </w:p>
        </w:tc>
        <w:tc>
          <w:tcPr>
            <w:shd w:fill="fff2cc" w:val="clear"/>
          </w:tcPr>
          <w:bookmarkStart w:colFirst="0" w:colLast="0" w:name="bookmark=id.2r0uhxc" w:id="64"/>
          <w:bookmarkEnd w:id="64"/>
          <w:p w:rsidR="00000000" w:rsidDel="00000000" w:rsidP="00000000" w:rsidRDefault="00000000" w:rsidRPr="00000000" w14:paraId="000001DA">
            <w:pPr>
              <w:rPr>
                <w:rFonts w:ascii="Avenir" w:cs="Avenir" w:eastAsia="Avenir" w:hAnsi="Avenir"/>
              </w:rPr>
            </w:pPr>
            <w:r w:rsidDel="00000000" w:rsidR="00000000" w:rsidRPr="00000000">
              <w:rPr>
                <w:rFonts w:ascii="Avenir" w:cs="Avenir" w:eastAsia="Avenir" w:hAnsi="Avenir"/>
                <w:rtl w:val="0"/>
              </w:rPr>
              <w:t xml:space="preserve">5</w:t>
            </w:r>
          </w:p>
        </w:tc>
      </w:tr>
      <w:tr>
        <w:trPr>
          <w:trHeight w:val="291" w:hRule="atLeast"/>
        </w:trPr>
        <w:tc>
          <w:tcPr>
            <w:shd w:fill="009193" w:val="clear"/>
          </w:tcPr>
          <w:p w:rsidR="00000000" w:rsidDel="00000000" w:rsidP="00000000" w:rsidRDefault="00000000" w:rsidRPr="00000000" w14:paraId="000001DB">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DC">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D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0">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1664s55" w:id="65"/>
          <w:bookmarkEnd w:id="65"/>
          <w:p w:rsidR="00000000" w:rsidDel="00000000" w:rsidP="00000000" w:rsidRDefault="00000000" w:rsidRPr="00000000" w14:paraId="000001E2">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q5sasy" w:id="66"/>
          <w:bookmarkEnd w:id="66"/>
          <w:p w:rsidR="00000000" w:rsidDel="00000000" w:rsidP="00000000" w:rsidRDefault="00000000" w:rsidRPr="00000000" w14:paraId="000001E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5b2l0r" w:id="67"/>
          <w:bookmarkEnd w:id="67"/>
          <w:p w:rsidR="00000000" w:rsidDel="00000000" w:rsidP="00000000" w:rsidRDefault="00000000" w:rsidRPr="00000000" w14:paraId="000001E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kgcv8k" w:id="68"/>
          <w:bookmarkEnd w:id="68"/>
          <w:p w:rsidR="00000000" w:rsidDel="00000000" w:rsidP="00000000" w:rsidRDefault="00000000" w:rsidRPr="00000000" w14:paraId="000001E8">
            <w:pPr>
              <w:rPr>
                <w:rFonts w:ascii="Avenir" w:cs="Avenir" w:eastAsia="Avenir" w:hAnsi="Avenir"/>
              </w:rPr>
            </w:pPr>
            <w:r w:rsidDel="00000000" w:rsidR="00000000" w:rsidRPr="00000000">
              <w:rPr>
                <w:rFonts w:ascii="Avenir" w:cs="Avenir" w:eastAsia="Avenir" w:hAnsi="Avenir"/>
                <w:rtl w:val="0"/>
              </w:rPr>
              <w:t xml:space="preserve">Computer</w:t>
            </w:r>
          </w:p>
        </w:tc>
        <w:tc>
          <w:tcPr/>
          <w:bookmarkStart w:colFirst="0" w:colLast="0" w:name="bookmark=id.34g0dwd" w:id="69"/>
          <w:bookmarkEnd w:id="69"/>
          <w:p w:rsidR="00000000" w:rsidDel="00000000" w:rsidP="00000000" w:rsidRDefault="00000000" w:rsidRPr="00000000" w14:paraId="000001EB">
            <w:pPr>
              <w:rPr>
                <w:rFonts w:ascii="Avenir" w:cs="Avenir" w:eastAsia="Avenir" w:hAnsi="Avenir"/>
              </w:rPr>
            </w:pPr>
            <w:r w:rsidDel="00000000" w:rsidR="00000000" w:rsidRPr="00000000">
              <w:rPr>
                <w:rFonts w:ascii="Avenir" w:cs="Avenir" w:eastAsia="Avenir" w:hAnsi="Avenir"/>
                <w:rtl w:val="0"/>
              </w:rPr>
              <w:t xml:space="preserve">2,000</w:t>
            </w:r>
          </w:p>
        </w:tc>
        <w:tc>
          <w:tcPr>
            <w:shd w:fill="fff2cc" w:val="clear"/>
          </w:tcPr>
          <w:bookmarkStart w:colFirst="0" w:colLast="0" w:name="bookmark=id.1jlao46" w:id="70"/>
          <w:bookmarkEnd w:id="70"/>
          <w:p w:rsidR="00000000" w:rsidDel="00000000" w:rsidP="00000000" w:rsidRDefault="00000000" w:rsidRPr="00000000" w14:paraId="000001EC">
            <w:pPr>
              <w:rPr>
                <w:rFonts w:ascii="Avenir" w:cs="Avenir" w:eastAsia="Avenir" w:hAnsi="Avenir"/>
              </w:rPr>
            </w:pPr>
            <w:r w:rsidDel="00000000" w:rsidR="00000000" w:rsidRPr="00000000">
              <w:rPr>
                <w:rFonts w:ascii="Avenir" w:cs="Avenir" w:eastAsia="Avenir" w:hAnsi="Avenir"/>
                <w:rtl w:val="0"/>
              </w:rPr>
              <w:t xml:space="preserve">8</w:t>
            </w:r>
          </w:p>
        </w:tc>
      </w:tr>
      <w:tr>
        <w:trPr>
          <w:trHeight w:val="291" w:hRule="atLeast"/>
        </w:trPr>
        <w:tc>
          <w:tcPr>
            <w:shd w:fill="009193" w:val="clear"/>
          </w:tcPr>
          <w:p w:rsidR="00000000" w:rsidDel="00000000" w:rsidP="00000000" w:rsidRDefault="00000000" w:rsidRPr="00000000" w14:paraId="000001E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E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43ky6rz" w:id="71"/>
          <w:bookmarkEnd w:id="71"/>
          <w:p w:rsidR="00000000" w:rsidDel="00000000" w:rsidP="00000000" w:rsidRDefault="00000000" w:rsidRPr="00000000" w14:paraId="000001F4">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iq8gzs" w:id="72"/>
          <w:bookmarkEnd w:id="72"/>
          <w:p w:rsidR="00000000" w:rsidDel="00000000" w:rsidP="00000000" w:rsidRDefault="00000000" w:rsidRPr="00000000" w14:paraId="000001F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xvir7l" w:id="73"/>
          <w:bookmarkEnd w:id="73"/>
          <w:p w:rsidR="00000000" w:rsidDel="00000000" w:rsidP="00000000" w:rsidRDefault="00000000" w:rsidRPr="00000000" w14:paraId="000001F8">
            <w:pPr>
              <w:rPr>
                <w:rFonts w:ascii="Avenir" w:cs="Avenir" w:eastAsia="Avenir" w:hAnsi="Avenir"/>
              </w:rPr>
            </w:pPr>
            <w:r w:rsidDel="00000000" w:rsidR="00000000" w:rsidRPr="00000000">
              <w:rPr>
                <w:rFonts w:ascii="Avenir" w:cs="Avenir" w:eastAsia="Avenir" w:hAnsi="Avenir"/>
                <w:rtl w:val="0"/>
              </w:rPr>
              <w:t xml:space="preserve">     </w:t>
            </w:r>
          </w:p>
        </w:tc>
      </w:tr>
      <w:tr>
        <w:trPr>
          <w:trHeight w:val="2577.0000000000005" w:hRule="atLeast"/>
        </w:trPr>
        <w:tc>
          <w:tcPr/>
          <w:p w:rsidR="00000000" w:rsidDel="00000000" w:rsidP="00000000" w:rsidRDefault="00000000" w:rsidRPr="00000000" w14:paraId="000001F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3hv69ve" w:id="74"/>
          <w:bookmarkEnd w:id="74"/>
          <w:p w:rsidR="00000000" w:rsidDel="00000000" w:rsidP="00000000" w:rsidRDefault="00000000" w:rsidRPr="00000000" w14:paraId="000001FA">
            <w:pPr>
              <w:rPr>
                <w:rFonts w:ascii="Avenir" w:cs="Avenir" w:eastAsia="Avenir" w:hAnsi="Avenir"/>
              </w:rPr>
            </w:pPr>
            <w:r w:rsidDel="00000000" w:rsidR="00000000" w:rsidRPr="00000000">
              <w:rPr>
                <w:rFonts w:ascii="Avenir" w:cs="Avenir" w:eastAsia="Avenir" w:hAnsi="Avenir"/>
                <w:rtl w:val="0"/>
              </w:rPr>
              <w:t xml:space="preserve">A different location and dedicated space to accommodate the increased number and diversity of students  requesting services in the center for workshops. Additionally a private and secure area to assist specific DI groups, i.e. Umoja, Puente, SAS, Learning Communities and specific students identified in the equity report and requests  support for career and transfer</w:t>
            </w:r>
          </w:p>
        </w:tc>
        <w:tc>
          <w:tcPr/>
          <w:bookmarkStart w:colFirst="0" w:colLast="0" w:name="bookmark=id.1x0gk37" w:id="75"/>
          <w:bookmarkEnd w:id="75"/>
          <w:p w:rsidR="00000000" w:rsidDel="00000000" w:rsidP="00000000" w:rsidRDefault="00000000" w:rsidRPr="00000000" w14:paraId="000001FD">
            <w:pPr>
              <w:rPr>
                <w:rFonts w:ascii="Avenir" w:cs="Avenir" w:eastAsia="Avenir" w:hAnsi="Avenir"/>
              </w:rPr>
            </w:pPr>
            <w:r w:rsidDel="00000000" w:rsidR="00000000" w:rsidRPr="00000000">
              <w:rPr>
                <w:rFonts w:ascii="Avenir" w:cs="Avenir" w:eastAsia="Avenir" w:hAnsi="Avenir"/>
                <w:rtl w:val="0"/>
              </w:rPr>
              <w:t xml:space="preserve">$0</w:t>
            </w:r>
          </w:p>
        </w:tc>
        <w:tc>
          <w:tcPr>
            <w:shd w:fill="fff2cc" w:val="clear"/>
          </w:tcPr>
          <w:bookmarkStart w:colFirst="0" w:colLast="0" w:name="bookmark=id.4h042r0" w:id="76"/>
          <w:bookmarkEnd w:id="76"/>
          <w:p w:rsidR="00000000" w:rsidDel="00000000" w:rsidP="00000000" w:rsidRDefault="00000000" w:rsidRPr="00000000" w14:paraId="000001FE">
            <w:pPr>
              <w:rPr>
                <w:rFonts w:ascii="Avenir" w:cs="Avenir" w:eastAsia="Avenir" w:hAnsi="Avenir"/>
              </w:rPr>
            </w:pPr>
            <w:r w:rsidDel="00000000" w:rsidR="00000000" w:rsidRPr="00000000">
              <w:rPr>
                <w:rFonts w:ascii="Avenir" w:cs="Avenir" w:eastAsia="Avenir" w:hAnsi="Avenir"/>
                <w:rtl w:val="0"/>
              </w:rPr>
              <w:t xml:space="preserve">4</w:t>
            </w:r>
          </w:p>
        </w:tc>
      </w:tr>
      <w:tr>
        <w:trPr>
          <w:trHeight w:val="291" w:hRule="atLeast"/>
        </w:trPr>
        <w:tc>
          <w:tcPr/>
          <w:p w:rsidR="00000000" w:rsidDel="00000000" w:rsidP="00000000" w:rsidRDefault="00000000" w:rsidRPr="00000000" w14:paraId="000001F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2w5ecyt" w:id="77"/>
          <w:bookmarkEnd w:id="77"/>
          <w:p w:rsidR="00000000" w:rsidDel="00000000" w:rsidP="00000000" w:rsidRDefault="00000000" w:rsidRPr="00000000" w14:paraId="00000200">
            <w:pPr>
              <w:rPr>
                <w:rFonts w:ascii="Avenir" w:cs="Avenir" w:eastAsia="Avenir" w:hAnsi="Avenir"/>
              </w:rPr>
            </w:pPr>
            <w:r w:rsidDel="00000000" w:rsidR="00000000" w:rsidRPr="00000000">
              <w:rPr>
                <w:rFonts w:ascii="Avenir" w:cs="Avenir" w:eastAsia="Avenir" w:hAnsi="Avenir"/>
                <w:rtl w:val="0"/>
              </w:rPr>
              <w:t xml:space="preserve">Computer Lab space set aside specific to transfer/career activities for transfer presentations/workshops, internship and employment presentations, career readiness workshops, and a private space for University Reps to meet with a group of students or individually.</w:t>
            </w:r>
          </w:p>
        </w:tc>
        <w:tc>
          <w:tcPr/>
          <w:bookmarkStart w:colFirst="0" w:colLast="0" w:name="bookmark=id.1baon6m" w:id="78"/>
          <w:bookmarkEnd w:id="78"/>
          <w:p w:rsidR="00000000" w:rsidDel="00000000" w:rsidP="00000000" w:rsidRDefault="00000000" w:rsidRPr="00000000" w14:paraId="00000203">
            <w:pPr>
              <w:rPr>
                <w:rFonts w:ascii="Avenir" w:cs="Avenir" w:eastAsia="Avenir" w:hAnsi="Avenir"/>
              </w:rPr>
            </w:pPr>
            <w:r w:rsidDel="00000000" w:rsidR="00000000" w:rsidRPr="00000000">
              <w:rPr>
                <w:rFonts w:ascii="Avenir" w:cs="Avenir" w:eastAsia="Avenir" w:hAnsi="Avenir"/>
                <w:rtl w:val="0"/>
              </w:rPr>
              <w:t xml:space="preserve">$0</w:t>
            </w:r>
          </w:p>
        </w:tc>
        <w:tc>
          <w:tcPr>
            <w:shd w:fill="fff2cc" w:val="clear"/>
          </w:tcPr>
          <w:bookmarkStart w:colFirst="0" w:colLast="0" w:name="bookmark=id.3vac5uf" w:id="79"/>
          <w:bookmarkEnd w:id="79"/>
          <w:p w:rsidR="00000000" w:rsidDel="00000000" w:rsidP="00000000" w:rsidRDefault="00000000" w:rsidRPr="00000000" w14:paraId="00000204">
            <w:pPr>
              <w:rPr>
                <w:rFonts w:ascii="Avenir" w:cs="Avenir" w:eastAsia="Avenir" w:hAnsi="Avenir"/>
              </w:rPr>
            </w:pPr>
            <w:r w:rsidDel="00000000" w:rsidR="00000000" w:rsidRPr="00000000">
              <w:rPr>
                <w:rFonts w:ascii="Avenir" w:cs="Avenir" w:eastAsia="Avenir" w:hAnsi="Avenir"/>
                <w:rtl w:val="0"/>
              </w:rPr>
              <w:t xml:space="preserve">9</w:t>
            </w:r>
          </w:p>
        </w:tc>
      </w:tr>
      <w:tr>
        <w:trPr>
          <w:trHeight w:val="291" w:hRule="atLeast"/>
        </w:trPr>
        <w:tc>
          <w:tcPr/>
          <w:p w:rsidR="00000000" w:rsidDel="00000000" w:rsidP="00000000" w:rsidRDefault="00000000" w:rsidRPr="00000000" w14:paraId="0000020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2afmg28" w:id="80"/>
          <w:bookmarkEnd w:id="80"/>
          <w:p w:rsidR="00000000" w:rsidDel="00000000" w:rsidP="00000000" w:rsidRDefault="00000000" w:rsidRPr="00000000" w14:paraId="0000020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pkwqa1" w:id="81"/>
          <w:bookmarkEnd w:id="81"/>
          <w:p w:rsidR="00000000" w:rsidDel="00000000" w:rsidP="00000000" w:rsidRDefault="00000000" w:rsidRPr="00000000" w14:paraId="0000020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9kk8xu" w:id="82"/>
          <w:bookmarkEnd w:id="82"/>
          <w:p w:rsidR="00000000" w:rsidDel="00000000" w:rsidP="00000000" w:rsidRDefault="00000000" w:rsidRPr="00000000" w14:paraId="0000020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0B">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20C">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0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10">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1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1opuj5n" w:id="83"/>
          <w:bookmarkEnd w:id="83"/>
          <w:p w:rsidR="00000000" w:rsidDel="00000000" w:rsidP="00000000" w:rsidRDefault="00000000" w:rsidRPr="00000000" w14:paraId="00000212">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8pi1tg" w:id="84"/>
          <w:bookmarkEnd w:id="84"/>
          <w:p w:rsidR="00000000" w:rsidDel="00000000" w:rsidP="00000000" w:rsidRDefault="00000000" w:rsidRPr="00000000" w14:paraId="0000021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nusc19" w:id="85"/>
          <w:bookmarkEnd w:id="85"/>
          <w:p w:rsidR="00000000" w:rsidDel="00000000" w:rsidP="00000000" w:rsidRDefault="00000000" w:rsidRPr="00000000" w14:paraId="0000021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1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1302m92" w:id="86"/>
          <w:bookmarkEnd w:id="86"/>
          <w:p w:rsidR="00000000" w:rsidDel="00000000" w:rsidP="00000000" w:rsidRDefault="00000000" w:rsidRPr="00000000" w14:paraId="0000021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mzq4wv" w:id="87"/>
          <w:bookmarkEnd w:id="87"/>
          <w:p w:rsidR="00000000" w:rsidDel="00000000" w:rsidP="00000000" w:rsidRDefault="00000000" w:rsidRPr="00000000" w14:paraId="0000021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250f4o" w:id="88"/>
          <w:bookmarkEnd w:id="88"/>
          <w:p w:rsidR="00000000" w:rsidDel="00000000" w:rsidP="00000000" w:rsidRDefault="00000000" w:rsidRPr="00000000" w14:paraId="0000021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1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21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2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2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2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haapch" w:id="89"/>
          <w:bookmarkEnd w:id="89"/>
          <w:p w:rsidR="00000000" w:rsidDel="00000000" w:rsidP="00000000" w:rsidRDefault="00000000" w:rsidRPr="00000000" w14:paraId="00000224">
            <w:pPr>
              <w:rPr>
                <w:rFonts w:ascii="Avenir" w:cs="Avenir" w:eastAsia="Avenir" w:hAnsi="Avenir"/>
              </w:rPr>
            </w:pPr>
            <w:r w:rsidDel="00000000" w:rsidR="00000000" w:rsidRPr="00000000">
              <w:rPr>
                <w:rFonts w:ascii="Avenir" w:cs="Avenir" w:eastAsia="Avenir" w:hAnsi="Avenir"/>
                <w:rtl w:val="0"/>
              </w:rPr>
              <w:t xml:space="preserve">Supplies to support the annual Transfer Fair, Transfer Acceptance Celebration, work-shops and labs during the Fall Transfer Season and the Spring Acceptance period</w:t>
            </w:r>
          </w:p>
        </w:tc>
        <w:tc>
          <w:tcPr/>
          <w:bookmarkStart w:colFirst="0" w:colLast="0" w:name="bookmark=id.319y80a" w:id="90"/>
          <w:bookmarkEnd w:id="90"/>
          <w:p w:rsidR="00000000" w:rsidDel="00000000" w:rsidP="00000000" w:rsidRDefault="00000000" w:rsidRPr="00000000" w14:paraId="00000227">
            <w:pPr>
              <w:rPr>
                <w:rFonts w:ascii="Avenir" w:cs="Avenir" w:eastAsia="Avenir" w:hAnsi="Avenir"/>
              </w:rPr>
            </w:pPr>
            <w:r w:rsidDel="00000000" w:rsidR="00000000" w:rsidRPr="00000000">
              <w:rPr>
                <w:rFonts w:ascii="Avenir" w:cs="Avenir" w:eastAsia="Avenir" w:hAnsi="Avenir"/>
                <w:rtl w:val="0"/>
              </w:rPr>
              <w:t xml:space="preserve">15,000</w:t>
            </w:r>
          </w:p>
        </w:tc>
        <w:tc>
          <w:tcPr>
            <w:shd w:fill="fff2cc" w:val="clear"/>
          </w:tcPr>
          <w:bookmarkStart w:colFirst="0" w:colLast="0" w:name="bookmark=id.1gf8i83" w:id="91"/>
          <w:bookmarkEnd w:id="91"/>
          <w:p w:rsidR="00000000" w:rsidDel="00000000" w:rsidP="00000000" w:rsidRDefault="00000000" w:rsidRPr="00000000" w14:paraId="00000228">
            <w:pPr>
              <w:rPr>
                <w:rFonts w:ascii="Avenir" w:cs="Avenir" w:eastAsia="Avenir" w:hAnsi="Avenir"/>
              </w:rPr>
            </w:pPr>
            <w:r w:rsidDel="00000000" w:rsidR="00000000" w:rsidRPr="00000000">
              <w:rPr>
                <w:rFonts w:ascii="Avenir" w:cs="Avenir" w:eastAsia="Avenir" w:hAnsi="Avenir"/>
                <w:rtl w:val="0"/>
              </w:rPr>
              <w:t xml:space="preserve">3</w:t>
            </w:r>
          </w:p>
        </w:tc>
      </w:tr>
    </w:tbl>
    <w:p w:rsidR="00000000" w:rsidDel="00000000" w:rsidP="00000000" w:rsidRDefault="00000000" w:rsidRPr="00000000" w14:paraId="00000229">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2B">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imSun"/>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1" w:customStyle="1">
    <w:name w:val="Unresolved Mention1"/>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bqJ6jVGLVUszBKw9daZRQ8kEA==">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2020-11-13T23:47:00Z</dcterms:created>
  <dc:creator>Dominique Benavides</dc:creator>
</cp:coreProperties>
</file>