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0FDCB485"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852A9B">
        <w:rPr>
          <w:rFonts w:ascii="Arial" w:eastAsia="Arial" w:hAnsi="Arial" w:cs="Arial"/>
          <w:b/>
          <w:color w:val="007F7F"/>
          <w:sz w:val="20"/>
          <w:szCs w:val="20"/>
        </w:rPr>
        <w:t xml:space="preserve">September </w:t>
      </w:r>
      <w:r w:rsidR="00DE49C8">
        <w:rPr>
          <w:rFonts w:ascii="Arial" w:eastAsia="Arial" w:hAnsi="Arial" w:cs="Arial"/>
          <w:b/>
          <w:color w:val="007F7F"/>
          <w:sz w:val="20"/>
          <w:szCs w:val="20"/>
        </w:rPr>
        <w:t>26</w:t>
      </w:r>
      <w:r w:rsidR="00852A9B">
        <w:rPr>
          <w:rFonts w:ascii="Arial" w:eastAsia="Arial" w:hAnsi="Arial" w:cs="Arial"/>
          <w:b/>
          <w:color w:val="007F7F"/>
          <w:sz w:val="20"/>
          <w:szCs w:val="20"/>
        </w:rPr>
        <w:t>, 2019</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w:t>
      </w:r>
      <w:bookmarkStart w:id="0" w:name="_GoBack"/>
      <w:bookmarkEnd w:id="0"/>
      <w:r>
        <w:rPr>
          <w:rFonts w:ascii="Arial" w:eastAsia="Arial" w:hAnsi="Arial" w:cs="Arial"/>
          <w:i/>
          <w:color w:val="000000"/>
          <w:sz w:val="20"/>
          <w:szCs w:val="20"/>
        </w:rPr>
        <w:t xml:space="preserve">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6354A15"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813AE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62420AFD" w:rsidR="006B736C" w:rsidRDefault="006B736C">
            <w:pPr>
              <w:jc w:val="cente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63335DEB"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p>
        </w:tc>
      </w:tr>
      <w:tr w:rsidR="006B736C" w14:paraId="731036C0" w14:textId="77777777">
        <w:trPr>
          <w:trHeight w:val="3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0E8FF" w14:textId="3AB02885" w:rsidR="006B736C" w:rsidRDefault="004900F5">
            <w:pPr>
              <w:jc w:val="center"/>
              <w:rPr>
                <w:rFonts w:ascii="Calibri" w:eastAsia="Calibri" w:hAnsi="Calibri" w:cs="Calibri"/>
                <w:sz w:val="20"/>
                <w:szCs w:val="20"/>
              </w:rPr>
            </w:pPr>
            <w:r>
              <w:rPr>
                <w:rFonts w:ascii="Calibri" w:eastAsia="Calibri" w:hAnsi="Calibri" w:cs="Calibri"/>
                <w:sz w:val="20"/>
                <w:szCs w:val="20"/>
              </w:rPr>
              <w:t>12:40-1</w:t>
            </w:r>
            <w:r w:rsidR="00C800B6">
              <w:rPr>
                <w:rFonts w:ascii="Calibri" w:eastAsia="Calibri" w:hAnsi="Calibri" w:cs="Calibri"/>
                <w:sz w:val="20"/>
                <w:szCs w:val="20"/>
              </w:rPr>
              <w:t>:00</w:t>
            </w:r>
            <w:r>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9EABF" w14:textId="77777777" w:rsidR="006B736C" w:rsidRDefault="00C800B6">
            <w:pPr>
              <w:numPr>
                <w:ilvl w:val="0"/>
                <w:numId w:val="2"/>
              </w:numPr>
              <w:rPr>
                <w:rFonts w:ascii="Calibri" w:eastAsia="Calibri" w:hAnsi="Calibri" w:cs="Calibri"/>
                <w:sz w:val="20"/>
                <w:szCs w:val="20"/>
              </w:rPr>
            </w:pPr>
            <w:r w:rsidRPr="00C800B6">
              <w:rPr>
                <w:rFonts w:ascii="Calibri" w:eastAsia="Calibri" w:hAnsi="Calibri" w:cs="Calibri"/>
                <w:sz w:val="20"/>
                <w:szCs w:val="20"/>
              </w:rPr>
              <w:t>Discuss plan for implementing FIG Proposal</w:t>
            </w:r>
          </w:p>
          <w:p w14:paraId="2C2AACC6" w14:textId="2740E811" w:rsidR="00C800B6" w:rsidRDefault="00C800B6">
            <w:pPr>
              <w:numPr>
                <w:ilvl w:val="0"/>
                <w:numId w:val="2"/>
              </w:numPr>
              <w:rPr>
                <w:rFonts w:ascii="Calibri" w:eastAsia="Calibri" w:hAnsi="Calibri" w:cs="Calibri"/>
                <w:sz w:val="20"/>
                <w:szCs w:val="20"/>
              </w:rPr>
            </w:pPr>
            <w:r w:rsidRPr="00C800B6">
              <w:rPr>
                <w:rFonts w:ascii="Calibri" w:eastAsia="Calibri" w:hAnsi="Calibri" w:cs="Calibri"/>
                <w:sz w:val="20"/>
                <w:szCs w:val="20"/>
              </w:rPr>
              <w:t>Develop plan for reviewing pilot courses</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2F5C7" w14:textId="6B562B64" w:rsidR="006B736C" w:rsidRDefault="00C800B6">
            <w:pPr>
              <w:numPr>
                <w:ilvl w:val="0"/>
                <w:numId w:val="3"/>
              </w:numPr>
              <w:pBdr>
                <w:top w:val="nil"/>
                <w:left w:val="nil"/>
                <w:bottom w:val="nil"/>
                <w:right w:val="nil"/>
                <w:between w:val="nil"/>
              </w:pBdr>
              <w:ind w:left="376" w:hanging="270"/>
              <w:rPr>
                <w:color w:val="000000"/>
                <w:sz w:val="20"/>
                <w:szCs w:val="20"/>
              </w:rPr>
            </w:pPr>
            <w:r>
              <w:rPr>
                <w:rFonts w:ascii="Calibri" w:eastAsia="Calibri" w:hAnsi="Calibri" w:cs="Calibri"/>
                <w:color w:val="000000"/>
                <w:sz w:val="20"/>
                <w:szCs w:val="20"/>
              </w:rPr>
              <w:t>Obtain FIG support for developing plan for reviewing courses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D34A2" w14:textId="77777777" w:rsidR="00852A9B" w:rsidRDefault="00C800B6">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Committee completed draft of letter for FIG funding.</w:t>
            </w:r>
          </w:p>
          <w:p w14:paraId="43501A5D" w14:textId="20684CB1" w:rsidR="00C800B6" w:rsidRDefault="00C800B6">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Courses will be offered by the existing committee members to use for the pilot program.</w:t>
            </w:r>
          </w:p>
        </w:tc>
      </w:tr>
      <w:tr w:rsidR="00D70EA2"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255FB8BD" w:rsidR="00D70EA2" w:rsidRDefault="004900F5" w:rsidP="00D70EA2">
            <w:pPr>
              <w:jc w:val="center"/>
              <w:rPr>
                <w:rFonts w:ascii="Calibri" w:eastAsia="Calibri" w:hAnsi="Calibri" w:cs="Calibri"/>
                <w:sz w:val="20"/>
                <w:szCs w:val="20"/>
              </w:rPr>
            </w:pPr>
            <w:r>
              <w:rPr>
                <w:rFonts w:ascii="Calibri" w:eastAsia="Calibri" w:hAnsi="Calibri" w:cs="Calibri"/>
                <w:sz w:val="20"/>
                <w:szCs w:val="20"/>
              </w:rPr>
              <w:t>1</w:t>
            </w:r>
            <w:r w:rsidR="00C800B6">
              <w:rPr>
                <w:rFonts w:ascii="Calibri" w:eastAsia="Calibri" w:hAnsi="Calibri" w:cs="Calibri"/>
                <w:sz w:val="20"/>
                <w:szCs w:val="20"/>
              </w:rPr>
              <w:t>:00</w:t>
            </w:r>
            <w:r>
              <w:rPr>
                <w:rFonts w:ascii="Calibri" w:eastAsia="Calibri" w:hAnsi="Calibri" w:cs="Calibri"/>
                <w:sz w:val="20"/>
                <w:szCs w:val="20"/>
              </w:rPr>
              <w:t>pm-1</w:t>
            </w:r>
            <w:r w:rsidR="00644D36">
              <w:rPr>
                <w:rFonts w:ascii="Calibri" w:eastAsia="Calibri" w:hAnsi="Calibri" w:cs="Calibri"/>
                <w:sz w:val="20"/>
                <w:szCs w:val="20"/>
              </w:rPr>
              <w:t>:15</w:t>
            </w:r>
            <w:r>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716B1" w14:textId="249B5D44" w:rsidR="00D70EA2" w:rsidRPr="00CD18FB" w:rsidRDefault="00C800B6" w:rsidP="00D70EA2">
            <w:pPr>
              <w:numPr>
                <w:ilvl w:val="0"/>
                <w:numId w:val="2"/>
              </w:numPr>
              <w:pBdr>
                <w:top w:val="nil"/>
                <w:left w:val="nil"/>
                <w:bottom w:val="nil"/>
                <w:right w:val="nil"/>
                <w:between w:val="nil"/>
              </w:pBdr>
              <w:rPr>
                <w:rFonts w:ascii="Calibri" w:eastAsia="Calibri" w:hAnsi="Calibri" w:cs="Calibri"/>
                <w:sz w:val="20"/>
                <w:szCs w:val="20"/>
              </w:rPr>
            </w:pPr>
            <w:r w:rsidRPr="00C800B6">
              <w:rPr>
                <w:rFonts w:ascii="Calibri" w:eastAsia="Calibri" w:hAnsi="Calibri" w:cs="Calibri"/>
                <w:sz w:val="20"/>
                <w:szCs w:val="20"/>
              </w:rPr>
              <w:t>Discuss AP 4105</w:t>
            </w:r>
          </w:p>
          <w:p w14:paraId="04A6A239" w14:textId="77777777" w:rsidR="00D70EA2" w:rsidRDefault="00D70EA2" w:rsidP="00D70EA2">
            <w:pPr>
              <w:pBdr>
                <w:top w:val="nil"/>
                <w:left w:val="nil"/>
                <w:bottom w:val="nil"/>
                <w:right w:val="nil"/>
                <w:between w:val="nil"/>
              </w:pBdr>
              <w:ind w:left="720"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6ADFFE5B" w:rsidR="00D70EA2" w:rsidRDefault="00C800B6" w:rsidP="00D70EA2">
            <w:pPr>
              <w:numPr>
                <w:ilvl w:val="0"/>
                <w:numId w:val="2"/>
              </w:numPr>
              <w:pBdr>
                <w:top w:val="nil"/>
                <w:left w:val="nil"/>
                <w:bottom w:val="nil"/>
                <w:right w:val="nil"/>
                <w:between w:val="nil"/>
              </w:pBdr>
              <w:ind w:left="286" w:hanging="180"/>
              <w:rPr>
                <w:color w:val="000000"/>
                <w:sz w:val="20"/>
                <w:szCs w:val="20"/>
              </w:rPr>
            </w:pPr>
            <w:r>
              <w:rPr>
                <w:rFonts w:ascii="Calibri" w:eastAsia="Calibri" w:hAnsi="Calibri" w:cs="Calibri"/>
                <w:color w:val="000000"/>
                <w:sz w:val="20"/>
                <w:szCs w:val="20"/>
              </w:rPr>
              <w:t>Become familiar with the current requirements to teach online and the new requirements in the proposed amendments to AP 4105</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B008D" w14:textId="3C80EA25" w:rsidR="00D70EA2" w:rsidRDefault="00C800B6" w:rsidP="00D70EA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Members discussed the differences between teaching online and teaching in the face to face setting. Specifically, there was concern about extra requirements to teach online than in the face to face setting. The amended Title 5 requirements were discussed</w:t>
            </w:r>
            <w:r w:rsidR="00644D36">
              <w:rPr>
                <w:rFonts w:ascii="Calibri" w:eastAsia="Calibri" w:hAnsi="Calibri" w:cs="Calibri"/>
                <w:sz w:val="20"/>
                <w:szCs w:val="20"/>
              </w:rPr>
              <w:t xml:space="preserve"> to show that there are additional requirements to teach online than in the face to face setting (s. 55208). Chris Bernard was asked by the Senate to address these changes at the next BCC Academic Senate meeting. </w:t>
            </w:r>
          </w:p>
          <w:p w14:paraId="32BE71F8" w14:textId="1BB712E5" w:rsidR="00644D36" w:rsidRDefault="00644D36" w:rsidP="00D70EA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Action: Prepare presentation for the next BCC Academic Senate to address the changes to AP 4105 and the Title 5 changes.</w:t>
            </w:r>
          </w:p>
          <w:p w14:paraId="10E12028" w14:textId="041365EC" w:rsidR="00D70EA2" w:rsidRDefault="00D70EA2" w:rsidP="00D70EA2">
            <w:pPr>
              <w:spacing w:line="276" w:lineRule="auto"/>
              <w:rPr>
                <w:rFonts w:ascii="Calibri" w:eastAsia="Calibri" w:hAnsi="Calibri" w:cs="Calibri"/>
                <w:sz w:val="20"/>
                <w:szCs w:val="20"/>
              </w:rPr>
            </w:pPr>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4D4AC9C2" w:rsidR="00D70EA2" w:rsidRDefault="00D70EA2" w:rsidP="00D70EA2">
            <w:pPr>
              <w:jc w:val="center"/>
              <w:rPr>
                <w:rFonts w:ascii="Calibri" w:eastAsia="Calibri" w:hAnsi="Calibri" w:cs="Calibri"/>
                <w:sz w:val="20"/>
                <w:szCs w:val="20"/>
              </w:rPr>
            </w:pPr>
            <w:r>
              <w:rPr>
                <w:rFonts w:ascii="Calibri" w:eastAsia="Calibri" w:hAnsi="Calibri" w:cs="Calibri"/>
                <w:sz w:val="20"/>
                <w:szCs w:val="20"/>
              </w:rPr>
              <w:t>1</w:t>
            </w:r>
            <w:r w:rsidR="00644D36">
              <w:rPr>
                <w:rFonts w:ascii="Calibri" w:eastAsia="Calibri" w:hAnsi="Calibri" w:cs="Calibri"/>
                <w:sz w:val="20"/>
                <w:szCs w:val="20"/>
              </w:rPr>
              <w:t>:10</w:t>
            </w:r>
            <w:r>
              <w:rPr>
                <w:rFonts w:ascii="Calibri" w:eastAsia="Calibri" w:hAnsi="Calibri" w:cs="Calibri"/>
                <w:sz w:val="20"/>
                <w:szCs w:val="20"/>
              </w:rPr>
              <w:t>-1</w:t>
            </w:r>
            <w:r w:rsidR="004900F5">
              <w:rPr>
                <w:rFonts w:ascii="Calibri" w:eastAsia="Calibri" w:hAnsi="Calibri" w:cs="Calibri"/>
                <w:sz w:val="20"/>
                <w:szCs w:val="20"/>
              </w:rPr>
              <w:t>:2</w:t>
            </w:r>
            <w:r>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ED060" w14:textId="7C3D2686" w:rsidR="00B439E7" w:rsidRPr="00CD18FB" w:rsidRDefault="00644D36" w:rsidP="00B439E7">
            <w:pPr>
              <w:numPr>
                <w:ilvl w:val="0"/>
                <w:numId w:val="2"/>
              </w:numPr>
              <w:pBdr>
                <w:top w:val="nil"/>
                <w:left w:val="nil"/>
                <w:bottom w:val="nil"/>
                <w:right w:val="nil"/>
                <w:between w:val="nil"/>
              </w:pBdr>
              <w:rPr>
                <w:rFonts w:ascii="Calibri" w:eastAsia="Calibri" w:hAnsi="Calibri" w:cs="Calibri"/>
                <w:sz w:val="20"/>
                <w:szCs w:val="20"/>
              </w:rPr>
            </w:pPr>
            <w:r w:rsidRPr="00644D36">
              <w:rPr>
                <w:rFonts w:ascii="Calibri" w:eastAsia="Calibri" w:hAnsi="Calibri" w:cs="Calibri"/>
                <w:sz w:val="20"/>
                <w:szCs w:val="20"/>
              </w:rPr>
              <w:t>Discuss DE Addendum Changes in Curriculum based on Title 5 Amendments</w:t>
            </w:r>
          </w:p>
          <w:p w14:paraId="3D703B5B" w14:textId="7F1CBE79" w:rsidR="00D70EA2" w:rsidRDefault="00D70EA2" w:rsidP="00D70EA2">
            <w:pPr>
              <w:rPr>
                <w:rFonts w:ascii="Calibri" w:eastAsia="Calibri" w:hAnsi="Calibri" w:cs="Calibri"/>
                <w:b/>
                <w:color w:val="000000"/>
                <w:sz w:val="20"/>
                <w:szCs w:val="20"/>
              </w:rPr>
            </w:pPr>
            <w:r>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79C5D60B" w:rsidR="00D70EA2" w:rsidRPr="00B439E7" w:rsidRDefault="00644D36" w:rsidP="00B439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Discuss future relationship with BCC Curriculum Committee.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0B2B9" w14:textId="4F0D204A" w:rsidR="004900F5" w:rsidRDefault="00644D36" w:rsidP="00D70EA2">
            <w:pPr>
              <w:rPr>
                <w:rFonts w:ascii="Calibri" w:eastAsia="Calibri" w:hAnsi="Calibri" w:cs="Calibri"/>
                <w:sz w:val="20"/>
                <w:szCs w:val="20"/>
              </w:rPr>
            </w:pPr>
            <w:r>
              <w:rPr>
                <w:rFonts w:ascii="Calibri" w:eastAsia="Calibri" w:hAnsi="Calibri" w:cs="Calibri"/>
                <w:sz w:val="20"/>
                <w:szCs w:val="20"/>
              </w:rPr>
              <w:t>TABLED.</w:t>
            </w:r>
          </w:p>
          <w:p w14:paraId="323462BB" w14:textId="782E908A" w:rsidR="00D70EA2" w:rsidRDefault="00D70EA2" w:rsidP="00D70EA2">
            <w:pPr>
              <w:rPr>
                <w:rFonts w:ascii="Calibri" w:eastAsia="Calibri" w:hAnsi="Calibri" w:cs="Calibri"/>
                <w:sz w:val="20"/>
                <w:szCs w:val="20"/>
              </w:rPr>
            </w:pP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0A7C6B83" w14:textId="77777777" w:rsidR="006B736C" w:rsidRDefault="006B736C">
      <w:pPr>
        <w:ind w:left="422"/>
        <w:rPr>
          <w:rFonts w:ascii="Calibri" w:eastAsia="Calibri" w:hAnsi="Calibri" w:cs="Calibri"/>
          <w:sz w:val="20"/>
          <w:szCs w:val="20"/>
        </w:rPr>
      </w:pPr>
    </w:p>
    <w:p w14:paraId="623527B3" w14:textId="77777777" w:rsidR="006B736C" w:rsidRDefault="006B736C">
      <w:pPr>
        <w:widowControl w:val="0"/>
        <w:rPr>
          <w:rFonts w:ascii="Calibri" w:eastAsia="Calibri" w:hAnsi="Calibri" w:cs="Calibri"/>
          <w:sz w:val="20"/>
          <w:szCs w:val="20"/>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6C"/>
    <w:rsid w:val="0004053C"/>
    <w:rsid w:val="00146B55"/>
    <w:rsid w:val="0031313C"/>
    <w:rsid w:val="004900F5"/>
    <w:rsid w:val="00644D36"/>
    <w:rsid w:val="006B0F41"/>
    <w:rsid w:val="006B736C"/>
    <w:rsid w:val="007A3056"/>
    <w:rsid w:val="00813AEF"/>
    <w:rsid w:val="00852A9B"/>
    <w:rsid w:val="00B439E7"/>
    <w:rsid w:val="00C800B6"/>
    <w:rsid w:val="00CD18FB"/>
    <w:rsid w:val="00D70EA2"/>
    <w:rsid w:val="00DA0365"/>
    <w:rsid w:val="00DE49C8"/>
    <w:rsid w:val="00F0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FF5376F6-33CD-B947-A421-DE6F345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9C5DA-AD09-4429-9C34-365C39297E3C}"/>
</file>

<file path=customXml/itemProps2.xml><?xml version="1.0" encoding="utf-8"?>
<ds:datastoreItem xmlns:ds="http://schemas.openxmlformats.org/officeDocument/2006/customXml" ds:itemID="{E3C9DA03-CCCE-4FE7-AF3D-AE34A6D13A09}"/>
</file>

<file path=customXml/itemProps3.xml><?xml version="1.0" encoding="utf-8"?>
<ds:datastoreItem xmlns:ds="http://schemas.openxmlformats.org/officeDocument/2006/customXml" ds:itemID="{FEBC7C76-9241-4FF3-98F8-51F37EB5DE4A}"/>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2019-11-12T21:03:00Z</dcterms:created>
  <dcterms:modified xsi:type="dcterms:W3CDTF">2019-11-12T21:17:00Z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